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000000" w:rsidRDefault="0075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МЧС России</w:t>
      </w:r>
    </w:p>
    <w:p w:rsidR="00000000" w:rsidRDefault="00750E37">
      <w:pPr>
        <w:pStyle w:val="1"/>
        <w:spacing w:after="0"/>
        <w:ind w:left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от 01.06.2011 г. № 274</w:t>
      </w:r>
    </w:p>
    <w:p w:rsidR="00000000" w:rsidRDefault="00750E37">
      <w:pPr>
        <w:spacing w:after="60" w:line="264" w:lineRule="auto"/>
        <w:ind w:left="6662"/>
        <w:jc w:val="right"/>
        <w:rPr>
          <w:b/>
        </w:rPr>
      </w:pPr>
    </w:p>
    <w:p w:rsidR="00000000" w:rsidRDefault="00750E37">
      <w:pPr>
        <w:spacing w:after="60" w:line="264" w:lineRule="auto"/>
        <w:ind w:left="6662"/>
        <w:jc w:val="right"/>
        <w:rPr>
          <w:b/>
        </w:rPr>
      </w:pPr>
      <w:r>
        <w:rPr>
          <w:b/>
        </w:rPr>
        <w:t>ОКС 13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220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01</w:t>
      </w:r>
    </w:p>
    <w:p w:rsidR="00000000" w:rsidRDefault="00750E37">
      <w:pPr>
        <w:spacing w:line="264" w:lineRule="auto"/>
        <w:jc w:val="both"/>
        <w:rPr>
          <w:b/>
          <w:spacing w:val="-10"/>
        </w:rPr>
      </w:pPr>
    </w:p>
    <w:p w:rsidR="00000000" w:rsidRDefault="00750E37">
      <w:pPr>
        <w:spacing w:line="264" w:lineRule="auto"/>
        <w:jc w:val="both"/>
        <w:rPr>
          <w:b/>
        </w:rPr>
      </w:pPr>
      <w:r>
        <w:rPr>
          <w:b/>
          <w:spacing w:val="-10"/>
        </w:rPr>
        <w:t>ИЗМЕНЕНИЕ № 1 к своду правил СП 5.13130.2009 «Системы противопожарной защиты.  Установки пожарной сигнализации и пожаротушения автоматические. Нормы и правила проектир</w:t>
      </w:r>
      <w:r>
        <w:rPr>
          <w:b/>
          <w:spacing w:val="-10"/>
        </w:rPr>
        <w:t>о</w:t>
      </w:r>
      <w:r>
        <w:rPr>
          <w:b/>
          <w:spacing w:val="-10"/>
        </w:rPr>
        <w:t>вания»</w:t>
      </w:r>
    </w:p>
    <w:p w:rsidR="00000000" w:rsidRDefault="00750E37">
      <w:pPr>
        <w:spacing w:line="264" w:lineRule="auto"/>
        <w:jc w:val="both"/>
      </w:pPr>
    </w:p>
    <w:p w:rsidR="00000000" w:rsidRDefault="00750E37">
      <w:pPr>
        <w:rPr>
          <w:b/>
        </w:rPr>
      </w:pPr>
      <w:r>
        <w:rPr>
          <w:b/>
        </w:rPr>
        <w:t>Дата введ</w:t>
      </w:r>
      <w:r>
        <w:rPr>
          <w:b/>
        </w:rPr>
        <w:t>ения с 20.06.2011г.</w:t>
      </w:r>
    </w:p>
    <w:p w:rsidR="00000000" w:rsidRDefault="00750E37">
      <w:pPr>
        <w:tabs>
          <w:tab w:val="num" w:pos="1647"/>
        </w:tabs>
        <w:spacing w:line="264" w:lineRule="auto"/>
        <w:ind w:right="-1" w:firstLine="540"/>
        <w:jc w:val="both"/>
        <w:rPr>
          <w:i/>
          <w:iCs/>
          <w:sz w:val="28"/>
          <w:szCs w:val="27"/>
        </w:rPr>
      </w:pPr>
    </w:p>
    <w:p w:rsidR="00000000" w:rsidRDefault="00750E37">
      <w:pPr>
        <w:numPr>
          <w:ilvl w:val="0"/>
          <w:numId w:val="2"/>
        </w:numPr>
        <w:spacing w:line="264" w:lineRule="auto"/>
        <w:ind w:right="-1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В разделе 3:</w:t>
      </w:r>
    </w:p>
    <w:p w:rsidR="00000000" w:rsidRDefault="00750E37">
      <w:pPr>
        <w:spacing w:line="264" w:lineRule="auto"/>
        <w:ind w:left="567" w:right="-1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пункт 3.99 изложить в следующей редакции: </w:t>
      </w:r>
    </w:p>
    <w:p w:rsidR="00000000" w:rsidRDefault="00750E37">
      <w:pPr>
        <w:spacing w:line="264" w:lineRule="auto"/>
        <w:ind w:right="-1" w:firstLine="567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«3.99 </w:t>
      </w:r>
      <w:r>
        <w:rPr>
          <w:b/>
          <w:iCs/>
          <w:sz w:val="28"/>
          <w:szCs w:val="27"/>
        </w:rPr>
        <w:t>спринклерно-дренчерная АУП (АУП-СД)</w:t>
      </w:r>
      <w:r>
        <w:rPr>
          <w:iCs/>
          <w:sz w:val="28"/>
          <w:szCs w:val="27"/>
        </w:rPr>
        <w:t>: Спринклерная АУП, в которой применен дренчерный узел управления и технические средс</w:t>
      </w:r>
      <w:r>
        <w:rPr>
          <w:iCs/>
          <w:sz w:val="28"/>
          <w:szCs w:val="27"/>
        </w:rPr>
        <w:t>т</w:t>
      </w:r>
      <w:r>
        <w:rPr>
          <w:iCs/>
          <w:sz w:val="28"/>
          <w:szCs w:val="27"/>
        </w:rPr>
        <w:t>ва его активации, а подача огнетушащего вещества в з</w:t>
      </w:r>
      <w:r>
        <w:rPr>
          <w:iCs/>
          <w:sz w:val="28"/>
          <w:szCs w:val="27"/>
        </w:rPr>
        <w:t>ащищаемую зону осуществляется только при срабатывании по логической схеме «И» сприн</w:t>
      </w:r>
      <w:r>
        <w:rPr>
          <w:iCs/>
          <w:sz w:val="28"/>
          <w:szCs w:val="27"/>
        </w:rPr>
        <w:t>к</w:t>
      </w:r>
      <w:r>
        <w:rPr>
          <w:iCs/>
          <w:sz w:val="28"/>
          <w:szCs w:val="27"/>
        </w:rPr>
        <w:t>лерного оросителя и технических средств активации узла управления.»;</w:t>
      </w:r>
    </w:p>
    <w:p w:rsidR="00000000" w:rsidRDefault="00750E37">
      <w:pPr>
        <w:spacing w:line="264" w:lineRule="auto"/>
        <w:ind w:left="567" w:right="-1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дополнить пунктами 3.121 - 3.125 следующего содержания: </w:t>
      </w:r>
    </w:p>
    <w:p w:rsidR="00000000" w:rsidRDefault="00750E37">
      <w:pPr>
        <w:spacing w:line="264" w:lineRule="auto"/>
        <w:ind w:right="-1" w:firstLine="567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«3.121 </w:t>
      </w:r>
      <w:r>
        <w:rPr>
          <w:b/>
          <w:iCs/>
          <w:sz w:val="28"/>
          <w:szCs w:val="27"/>
        </w:rPr>
        <w:t>система пожарной автоматики</w:t>
      </w:r>
      <w:r>
        <w:rPr>
          <w:iCs/>
          <w:sz w:val="28"/>
          <w:szCs w:val="27"/>
        </w:rPr>
        <w:t>: Оборудован</w:t>
      </w:r>
      <w:r>
        <w:rPr>
          <w:iCs/>
          <w:sz w:val="28"/>
          <w:szCs w:val="27"/>
        </w:rPr>
        <w:t>ие, объединенное соединительными линиями и работающее по заданному алгоритму с ц</w:t>
      </w:r>
      <w:r>
        <w:rPr>
          <w:iCs/>
          <w:sz w:val="28"/>
          <w:szCs w:val="27"/>
        </w:rPr>
        <w:t>е</w:t>
      </w:r>
      <w:r>
        <w:rPr>
          <w:iCs/>
          <w:sz w:val="28"/>
          <w:szCs w:val="27"/>
        </w:rPr>
        <w:t>лью выполнения задач по обеспечению пожарной безопасности на объекте.</w:t>
      </w:r>
    </w:p>
    <w:p w:rsidR="00000000" w:rsidRDefault="00750E37">
      <w:pPr>
        <w:spacing w:line="264" w:lineRule="auto"/>
        <w:ind w:right="-1" w:firstLine="567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3.122 </w:t>
      </w:r>
      <w:r>
        <w:rPr>
          <w:b/>
          <w:iCs/>
          <w:sz w:val="28"/>
          <w:szCs w:val="27"/>
        </w:rPr>
        <w:t>воздушный компенсатор</w:t>
      </w:r>
      <w:r>
        <w:rPr>
          <w:iCs/>
          <w:sz w:val="28"/>
          <w:szCs w:val="27"/>
        </w:rPr>
        <w:t>: Устройство с фиксированным отверстием, предназначенное для сведения к миниму</w:t>
      </w:r>
      <w:r>
        <w:rPr>
          <w:iCs/>
          <w:sz w:val="28"/>
          <w:szCs w:val="27"/>
        </w:rPr>
        <w:t>му вероятности ложных срабатываний сигнального клапана, вызываемых утечками воздуха в питающем и/или распределительном трубопроводах воздушных спринклерных АУП.</w:t>
      </w:r>
    </w:p>
    <w:p w:rsidR="00000000" w:rsidRDefault="00750E37">
      <w:pPr>
        <w:spacing w:line="264" w:lineRule="auto"/>
        <w:ind w:right="-1" w:firstLine="567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3.123 </w:t>
      </w:r>
      <w:r>
        <w:rPr>
          <w:b/>
          <w:iCs/>
          <w:sz w:val="28"/>
          <w:szCs w:val="27"/>
        </w:rPr>
        <w:t>интенсивность орошения</w:t>
      </w:r>
      <w:r>
        <w:rPr>
          <w:iCs/>
          <w:sz w:val="28"/>
          <w:szCs w:val="27"/>
        </w:rPr>
        <w:t xml:space="preserve">: Объем </w:t>
      </w:r>
      <w:r>
        <w:rPr>
          <w:sz w:val="28"/>
          <w:szCs w:val="28"/>
        </w:rPr>
        <w:t>огнетушащей жидкости</w:t>
      </w:r>
      <w:r>
        <w:rPr>
          <w:iCs/>
          <w:sz w:val="28"/>
          <w:szCs w:val="27"/>
        </w:rPr>
        <w:t xml:space="preserve"> (вода, водный раствор (в т.ч. водный р</w:t>
      </w:r>
      <w:r>
        <w:rPr>
          <w:iCs/>
          <w:sz w:val="28"/>
          <w:szCs w:val="27"/>
        </w:rPr>
        <w:t xml:space="preserve">аствор пенообразователя, </w:t>
      </w:r>
      <w:r>
        <w:rPr>
          <w:sz w:val="28"/>
          <w:szCs w:val="28"/>
        </w:rPr>
        <w:t>другие огн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тушащие жидкости)</w:t>
      </w:r>
      <w:r>
        <w:rPr>
          <w:iCs/>
          <w:sz w:val="28"/>
          <w:szCs w:val="27"/>
        </w:rPr>
        <w:t>, приходящийся на единицу площади в единицу времени.</w:t>
      </w:r>
    </w:p>
    <w:p w:rsidR="00000000" w:rsidRDefault="00750E37">
      <w:pPr>
        <w:spacing w:line="264" w:lineRule="auto"/>
        <w:ind w:right="-1" w:firstLine="567"/>
        <w:contextualSpacing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3.124 </w:t>
      </w:r>
      <w:r>
        <w:rPr>
          <w:b/>
          <w:iCs/>
          <w:sz w:val="28"/>
          <w:szCs w:val="27"/>
        </w:rPr>
        <w:t>минимальная площадь, орошаемая АУП</w:t>
      </w:r>
      <w:r>
        <w:rPr>
          <w:iCs/>
          <w:sz w:val="28"/>
          <w:szCs w:val="27"/>
        </w:rPr>
        <w:t>: Минимальное значение нормативной или проектной части общей защищаемой площади, по</w:t>
      </w:r>
      <w:r>
        <w:rPr>
          <w:iCs/>
          <w:sz w:val="28"/>
          <w:szCs w:val="27"/>
        </w:rPr>
        <w:t>д</w:t>
      </w:r>
      <w:r>
        <w:rPr>
          <w:iCs/>
          <w:sz w:val="28"/>
          <w:szCs w:val="27"/>
        </w:rPr>
        <w:t>вергаемой одновременному о</w:t>
      </w:r>
      <w:r>
        <w:rPr>
          <w:iCs/>
          <w:sz w:val="28"/>
          <w:szCs w:val="27"/>
        </w:rPr>
        <w:t>рошению огнетушащей жидкостью при срабатывании всех оросителей, расположенных на этой части общей защища</w:t>
      </w:r>
      <w:r>
        <w:rPr>
          <w:iCs/>
          <w:sz w:val="28"/>
          <w:szCs w:val="27"/>
        </w:rPr>
        <w:t>е</w:t>
      </w:r>
      <w:r>
        <w:rPr>
          <w:iCs/>
          <w:sz w:val="28"/>
          <w:szCs w:val="27"/>
        </w:rPr>
        <w:t>мой площади.</w:t>
      </w:r>
    </w:p>
    <w:p w:rsidR="00000000" w:rsidRDefault="00750E37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7"/>
        </w:rPr>
        <w:t xml:space="preserve">3.125 </w:t>
      </w:r>
      <w:r>
        <w:rPr>
          <w:b/>
          <w:bCs/>
          <w:sz w:val="28"/>
          <w:szCs w:val="28"/>
        </w:rPr>
        <w:t>термоактивирующееся микрокапсулированное ОТВ (ТермаОТВ)</w:t>
      </w:r>
      <w:r>
        <w:rPr>
          <w:sz w:val="28"/>
          <w:szCs w:val="28"/>
        </w:rPr>
        <w:t xml:space="preserve">: Вещество (огнетушащие жидкость или газ) содержащееся в виде микровключений </w:t>
      </w:r>
      <w:r>
        <w:rPr>
          <w:sz w:val="28"/>
          <w:szCs w:val="28"/>
        </w:rPr>
        <w:t>(микрокапсул) в твердых, пластичных или сыпучих материалах, выделяющееся при подъеме температуры до определенного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данного) значения.».</w:t>
      </w:r>
    </w:p>
    <w:p w:rsidR="00000000" w:rsidRDefault="00750E37">
      <w:pPr>
        <w:spacing w:before="100" w:beforeAutospacing="1" w:after="100" w:afterAutospacing="1"/>
        <w:ind w:left="360" w:firstLine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4.2 раздела 4 изложить в следующей редакции: </w:t>
      </w:r>
    </w:p>
    <w:p w:rsidR="00000000" w:rsidRDefault="00750E37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«4.2 Автоматические установки (за исключением автономных) должн</w:t>
      </w:r>
      <w:r>
        <w:rPr>
          <w:sz w:val="28"/>
          <w:szCs w:val="28"/>
        </w:rPr>
        <w:t>ы выполнять одновременно и функцию пожарной сигнализации.».</w:t>
      </w:r>
    </w:p>
    <w:p w:rsidR="00000000" w:rsidRDefault="00750E37">
      <w:pPr>
        <w:numPr>
          <w:ilvl w:val="0"/>
          <w:numId w:val="4"/>
        </w:numPr>
        <w:spacing w:line="264" w:lineRule="auto"/>
        <w:ind w:right="-1"/>
        <w:contextualSpacing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В разделе 5:</w:t>
      </w:r>
    </w:p>
    <w:p w:rsidR="00000000" w:rsidRDefault="00750E37">
      <w:pPr>
        <w:spacing w:line="264" w:lineRule="auto"/>
        <w:ind w:left="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примечаниях</w:t>
      </w:r>
      <w:r>
        <w:rPr>
          <w:iCs/>
          <w:sz w:val="28"/>
          <w:szCs w:val="27"/>
        </w:rPr>
        <w:t xml:space="preserve"> к таблице 5.1 пункта 5.1.4:</w:t>
      </w:r>
    </w:p>
    <w:p w:rsidR="00000000" w:rsidRDefault="00750E37">
      <w:pPr>
        <w:spacing w:line="264" w:lineRule="auto"/>
        <w:ind w:left="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000000" w:rsidRDefault="00750E3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Если фактическая защищаемая площадь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меньше минимальной площади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орошаемой АУП, указанной в таб</w:t>
      </w:r>
      <w:r>
        <w:rPr>
          <w:sz w:val="28"/>
          <w:szCs w:val="28"/>
        </w:rPr>
        <w:t>лице 5.3, то фактический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 может быть уменьшен на коэффициент К=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.»;</w:t>
      </w:r>
    </w:p>
    <w:p w:rsidR="00000000" w:rsidRDefault="00750E37">
      <w:pPr>
        <w:spacing w:line="264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7 - 9 следующего содержания соответственно:</w:t>
      </w:r>
    </w:p>
    <w:p w:rsidR="00000000" w:rsidRDefault="00750E3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 Продолжительность работы пенных АУП с пеной низкой и средней кратности при поверхностном способе пожаротушения </w:t>
      </w:r>
      <w:r>
        <w:rPr>
          <w:sz w:val="28"/>
          <w:szCs w:val="28"/>
        </w:rPr>
        <w:t>следует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мать: 10 мин. – для помещений категорий В2 и В3 по пожарной опасности; 15 мин. – для помещений категорий А, Б и В1 по взрывопожарной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опасности; 25 мин. – для помещений группы 7.</w:t>
      </w:r>
    </w:p>
    <w:p w:rsidR="00000000" w:rsidRDefault="00750E3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Для дренчерных АУП допускается расстановка оросителе</w:t>
      </w:r>
      <w:r>
        <w:rPr>
          <w:sz w:val="28"/>
          <w:szCs w:val="28"/>
        </w:rPr>
        <w:t>й с расстояниями между ними более, чем приведенные в таблице 5.1 для спринкле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оросителей, при условии, что при расстановке дренчерных оросителей обеспечиваются нормативные значения интенсивности орошения всей защищаемой площади и принятое решение не пр</w:t>
      </w:r>
      <w:r>
        <w:rPr>
          <w:sz w:val="28"/>
          <w:szCs w:val="28"/>
        </w:rPr>
        <w:t>отиворечит требованиям технической документации на данный вид оросителей.</w:t>
      </w:r>
    </w:p>
    <w:p w:rsidR="00000000" w:rsidRDefault="00750E3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Расстояние между оросителями под покрытием с уклоном должно приниматься по горизонтальной плоскости.»;</w:t>
      </w:r>
    </w:p>
    <w:p w:rsidR="00000000" w:rsidRDefault="00750E3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5.4.4 исключить;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пункт 5.8.8 дополнить абзацем следующего содержания: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«В спринклерных водозаполненных и воздушных АУП допускается монтаж запорного устройства за сигнальным клапаном при условии обесп</w:t>
      </w:r>
      <w:r>
        <w:rPr>
          <w:iCs/>
          <w:sz w:val="28"/>
          <w:szCs w:val="27"/>
        </w:rPr>
        <w:t>е</w:t>
      </w:r>
      <w:r>
        <w:rPr>
          <w:iCs/>
          <w:sz w:val="28"/>
          <w:szCs w:val="27"/>
        </w:rPr>
        <w:t>чения автоматического контроля состояния запорного устройства («Закрыто» - «Открыто») с выводом сигнала в помещение с постоянны</w:t>
      </w:r>
      <w:r>
        <w:rPr>
          <w:iCs/>
          <w:sz w:val="28"/>
          <w:szCs w:val="27"/>
        </w:rPr>
        <w:t>м пребыв</w:t>
      </w:r>
      <w:r>
        <w:rPr>
          <w:iCs/>
          <w:sz w:val="28"/>
          <w:szCs w:val="27"/>
        </w:rPr>
        <w:t>а</w:t>
      </w:r>
      <w:r>
        <w:rPr>
          <w:iCs/>
          <w:sz w:val="28"/>
          <w:szCs w:val="27"/>
        </w:rPr>
        <w:t>нием дежурного персонала.»;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пункт 5.9.25 дополнить абзацем следующего содержания: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«Расчетный и резервный объемы пенообразователя допускается содержать в одном сосуде.».</w:t>
      </w:r>
    </w:p>
    <w:p w:rsidR="00000000" w:rsidRDefault="00750E37">
      <w:pPr>
        <w:tabs>
          <w:tab w:val="left" w:pos="1204"/>
          <w:tab w:val="num" w:pos="1620"/>
        </w:tabs>
        <w:spacing w:line="228" w:lineRule="auto"/>
        <w:ind w:firstLine="567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4) таблицу 8.1 пункта 8.3 раздела 8 изложить в следующей редакции:</w:t>
      </w:r>
    </w:p>
    <w:p w:rsidR="00000000" w:rsidRDefault="00750E37">
      <w:pPr>
        <w:tabs>
          <w:tab w:val="left" w:pos="1204"/>
          <w:tab w:val="num" w:pos="1620"/>
        </w:tabs>
        <w:spacing w:line="228" w:lineRule="auto"/>
        <w:jc w:val="both"/>
        <w:rPr>
          <w:sz w:val="26"/>
          <w:szCs w:val="26"/>
        </w:rPr>
      </w:pPr>
      <w:r>
        <w:rPr>
          <w:iCs/>
          <w:sz w:val="28"/>
          <w:szCs w:val="27"/>
        </w:rPr>
        <w:t>«Т</w:t>
      </w:r>
      <w:r>
        <w:rPr>
          <w:sz w:val="26"/>
          <w:szCs w:val="26"/>
        </w:rPr>
        <w:t>аблица 8</w:t>
      </w:r>
      <w:r>
        <w:rPr>
          <w:sz w:val="26"/>
          <w:szCs w:val="26"/>
        </w:rPr>
        <w:t>.1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/>
      </w:tblPr>
      <w:tblGrid>
        <w:gridCol w:w="4902"/>
        <w:gridCol w:w="4454"/>
      </w:tblGrid>
      <w:tr w:rsidR="00000000">
        <w:trPr>
          <w:trHeight w:val="2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Сжиженные газы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Сжатые газы</w:t>
            </w:r>
          </w:p>
        </w:tc>
      </w:tr>
      <w:tr w:rsidR="00000000">
        <w:trPr>
          <w:trHeight w:val="20"/>
        </w:trPr>
        <w:tc>
          <w:tcPr>
            <w:tcW w:w="4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Двуокись углерода (СО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23 (СF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H)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125 (С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H)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218 (С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227ea (С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H)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318Ц (С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Ц)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Шестифтористая сера (SF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ТФМ-18И:</w:t>
            </w:r>
          </w:p>
          <w:p w:rsidR="00000000" w:rsidRDefault="00750E37">
            <w:pPr>
              <w:pStyle w:val="formattext"/>
              <w:widowControl/>
              <w:spacing w:line="232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23 (СF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H) ― 90 % (масс.)</w:t>
            </w:r>
          </w:p>
          <w:p w:rsidR="00000000" w:rsidRDefault="00750E37">
            <w:pPr>
              <w:pStyle w:val="formattext"/>
              <w:widowControl/>
              <w:spacing w:line="232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йодистый метил (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) ― 10 % (масс.)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ФК-5-1-12 (</w:t>
            </w:r>
            <w:r>
              <w:rPr>
                <w:sz w:val="24"/>
                <w:szCs w:val="24"/>
                <w:lang w:val="en-US"/>
              </w:rPr>
              <w:t>CF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en-US"/>
              </w:rPr>
              <w:t>CF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CF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CF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 217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Хладон </w:t>
            </w:r>
            <w:r>
              <w:rPr>
                <w:sz w:val="24"/>
                <w:szCs w:val="24"/>
                <w:lang w:val="en-US"/>
              </w:rPr>
              <w:t>CF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 (N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Аргон (Ar)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Инерген:</w:t>
            </w:r>
          </w:p>
          <w:p w:rsidR="00000000" w:rsidRDefault="00750E37">
            <w:pPr>
              <w:pStyle w:val="formattext"/>
              <w:widowControl/>
              <w:spacing w:line="232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 (N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 ― 52 % (об.)</w:t>
            </w:r>
          </w:p>
          <w:p w:rsidR="00000000" w:rsidRDefault="00750E37">
            <w:pPr>
              <w:pStyle w:val="formattext"/>
              <w:widowControl/>
              <w:spacing w:line="232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аргон (</w:t>
            </w:r>
            <w:r>
              <w:rPr>
                <w:sz w:val="24"/>
                <w:szCs w:val="24"/>
                <w:lang w:eastAsia="ja-JP"/>
              </w:rPr>
              <w:t xml:space="preserve">Ar) </w:t>
            </w:r>
            <w:r>
              <w:rPr>
                <w:sz w:val="24"/>
                <w:szCs w:val="24"/>
              </w:rPr>
              <w:t>― 40 % (об.)</w:t>
            </w:r>
          </w:p>
          <w:p w:rsidR="00000000" w:rsidRDefault="00750E37">
            <w:pPr>
              <w:pStyle w:val="formattext"/>
              <w:widowControl/>
              <w:spacing w:line="232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двуокись углерода (CO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 ― 8 % (об.)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Аргонит:</w:t>
            </w:r>
          </w:p>
          <w:p w:rsidR="00000000" w:rsidRDefault="00750E37">
            <w:pPr>
              <w:pStyle w:val="formattext"/>
              <w:widowControl/>
              <w:spacing w:line="232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 (N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 ― 50 % (об.)</w:t>
            </w:r>
          </w:p>
          <w:p w:rsidR="00000000" w:rsidRDefault="00750E37">
            <w:pPr>
              <w:pStyle w:val="formattext"/>
              <w:widowControl/>
              <w:spacing w:line="232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аргон (</w:t>
            </w:r>
            <w:r>
              <w:rPr>
                <w:sz w:val="24"/>
                <w:szCs w:val="24"/>
                <w:lang w:eastAsia="ja-JP"/>
              </w:rPr>
              <w:t xml:space="preserve">Ar) </w:t>
            </w:r>
            <w:r>
              <w:rPr>
                <w:sz w:val="24"/>
                <w:szCs w:val="24"/>
              </w:rPr>
              <w:t xml:space="preserve">― </w:t>
            </w:r>
            <w:r>
              <w:rPr>
                <w:sz w:val="24"/>
                <w:szCs w:val="24"/>
              </w:rPr>
              <w:t>50 % (об.)</w:t>
            </w:r>
          </w:p>
          <w:p w:rsidR="00000000" w:rsidRDefault="00750E37">
            <w:pPr>
              <w:pStyle w:val="formattext"/>
              <w:widowControl/>
              <w:spacing w:line="232" w:lineRule="auto"/>
              <w:rPr>
                <w:sz w:val="12"/>
                <w:szCs w:val="12"/>
              </w:rPr>
            </w:pPr>
          </w:p>
          <w:p w:rsidR="00000000" w:rsidRDefault="00750E37">
            <w:pPr>
              <w:pStyle w:val="formattext"/>
              <w:widowControl/>
              <w:spacing w:line="232" w:lineRule="auto"/>
              <w:jc w:val="both"/>
              <w:rPr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7.4pt;margin-top:72.5pt;width:25.6pt;height:22.95pt;z-index:-251661824;mso-height-percent:200;mso-height-percent:200;mso-width-relative:margin;mso-height-relative:margin" stroked="f">
                  <v:textbox style="mso-fit-shape-to-text:t">
                    <w:txbxContent>
                      <w:p w:rsidR="00000000" w:rsidRDefault="00750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В разделе 11: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11.1 изложить в следующей редакции: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«11. 1 Автономные установки пожаротушения подразделяются по виду огнетушащего вещества (ОТВ) на жидкостные, пенные, газовые, поро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ковые, аэрозольные, </w:t>
      </w:r>
      <w:r>
        <w:rPr>
          <w:color w:val="000000"/>
          <w:sz w:val="28"/>
          <w:szCs w:val="28"/>
        </w:rPr>
        <w:t>установки пожаротушения с Т</w:t>
      </w:r>
      <w:r>
        <w:rPr>
          <w:color w:val="000000"/>
          <w:sz w:val="28"/>
          <w:szCs w:val="28"/>
        </w:rPr>
        <w:t>ерма-ОТВ</w:t>
      </w:r>
      <w:r>
        <w:rPr>
          <w:sz w:val="28"/>
          <w:szCs w:val="28"/>
        </w:rPr>
        <w:t xml:space="preserve"> и комбинированные.»;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11.3, 11.4 изложить в следующей редакции соответственно: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«11.3 Проектирование автономных установок производится в соответствии с руководством по проектированию, разработанным проектной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 для защиты типовых о</w:t>
      </w:r>
      <w:r>
        <w:rPr>
          <w:sz w:val="28"/>
          <w:szCs w:val="28"/>
        </w:rPr>
        <w:t>бъектов.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11.4 Требования, предъявляемые к запасу ОТВ для автономной установки пожаротушения, должны соответствовать требованиям к запасу ОТВ для автоматической установки пожаротушения модульного типа, за исключением автономных установок с термоактивирующим</w:t>
      </w:r>
      <w:r>
        <w:rPr>
          <w:sz w:val="28"/>
          <w:szCs w:val="28"/>
        </w:rPr>
        <w:t>ся микрокапсулир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ванным ОТВ.»;</w:t>
      </w:r>
    </w:p>
    <w:p w:rsidR="00000000" w:rsidRDefault="00750E37">
      <w:pPr>
        <w:spacing w:line="264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пунктом 11.6 следующего содержания: </w:t>
      </w:r>
    </w:p>
    <w:p w:rsidR="00000000" w:rsidRDefault="00750E37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11.6 Автономные установки пожаротушения рекомендуется использовать для защиты электротехнического оборудования в соответствии с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ническими характеристиками электрооборудования</w:t>
      </w:r>
      <w:r>
        <w:rPr>
          <w:sz w:val="28"/>
          <w:szCs w:val="28"/>
        </w:rPr>
        <w:t>.».</w:t>
      </w:r>
    </w:p>
    <w:p w:rsidR="00000000" w:rsidRDefault="00750E37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разделе 13: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пункт 13.1.11 изложить в следующей редакции: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«13.1.11 Пожарные извещатели следует применять в соответствии с требованиями данного свода правил, иных нормативных документов по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жарной безопасности, а также технической документации на </w:t>
      </w:r>
      <w:r>
        <w:rPr>
          <w:iCs/>
          <w:sz w:val="28"/>
          <w:szCs w:val="28"/>
        </w:rPr>
        <w:t>извещатели конкретных типов.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Исполнение извещателей должно обеспечивать их безопасность по отношению к внешней среде в соответствии с требованиями [7].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Тип и параметры извещателей должны обеспечивать их устойчивость к воздействиям климатических, механическ</w:t>
      </w:r>
      <w:r>
        <w:rPr>
          <w:iCs/>
          <w:sz w:val="28"/>
          <w:szCs w:val="28"/>
        </w:rPr>
        <w:t>их, электромагнитных, оптич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ских, радиационных и иных факторов внешней среды в местах размещения извещателей.»;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пункт 13.2.2 изложить в следующей редакции: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«13.2.2 Максимальное количество и площадь помещений, защищаемых одной адресной линией с адресными п</w:t>
      </w:r>
      <w:r>
        <w:rPr>
          <w:iCs/>
          <w:sz w:val="28"/>
          <w:szCs w:val="28"/>
        </w:rPr>
        <w:t>ожарными извещателями или а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ресными устройствами, определяется техническими возможностями приемно-контрольной аппаратуры, техническими характеристиками включаемых в линию извещателей и не зависит от расположения помещений в здании.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адресные шлейфы пожарн</w:t>
      </w:r>
      <w:r>
        <w:rPr>
          <w:iCs/>
          <w:sz w:val="28"/>
          <w:szCs w:val="28"/>
        </w:rPr>
        <w:t>ой сигнализации вместе с адресными пожарными извещателями могут включаться адресные устройства вв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да/вывода, адресные модули контроля безадресных шлейфов с включенными в них безадресными пожарными извещателями, сепараторы короткого замыкания, адресные испо</w:t>
      </w:r>
      <w:r>
        <w:rPr>
          <w:iCs/>
          <w:sz w:val="28"/>
          <w:szCs w:val="28"/>
        </w:rPr>
        <w:t>лнительные устройства. Возможность включения в адресный шлейф адресных устройств и их количество определяются техническими характеристиками используемого оборудования, приведенными в технической документации изготовителя.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адресные линии приемно-контрольн</w:t>
      </w:r>
      <w:r>
        <w:rPr>
          <w:iCs/>
          <w:sz w:val="28"/>
          <w:szCs w:val="28"/>
        </w:rPr>
        <w:t>ых приборов могут включаться адресные охранные извещатели или безадресные охранные извещатели через адресные устройства, при условии обеспечения необходимых алгоритмов работы пожарных и охранных систем.»;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пункт 13.3.6 изложить в следующей редакции: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«13.3.</w:t>
      </w:r>
      <w:r>
        <w:rPr>
          <w:iCs/>
          <w:sz w:val="28"/>
          <w:szCs w:val="28"/>
        </w:rPr>
        <w:t>6 Размещение точечных тепловых и дымовых пожарных извещателей следует производить с учетом воздушных потоков в защищаемом помещении, вызываемых приточной и/или вытяжной вентиляцией, при этом расстояние от извещателя до вентиляционного отверстия должно быть</w:t>
      </w:r>
      <w:r>
        <w:rPr>
          <w:i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iCs/>
            <w:sz w:val="28"/>
            <w:szCs w:val="28"/>
          </w:rPr>
          <w:t>1 м</w:t>
        </w:r>
      </w:smartTag>
      <w:r>
        <w:rPr>
          <w:iCs/>
          <w:sz w:val="28"/>
          <w:szCs w:val="28"/>
        </w:rPr>
        <w:t>. В случае применения аспирационных пожарных извещателей расстояние от воздухозаборной трубы с отверстиями до вентиляционного отверстия регламентируется величиной допустимого воздушного потока для данного типа извещателей в соответствии с техн</w:t>
      </w:r>
      <w:r>
        <w:rPr>
          <w:iCs/>
          <w:sz w:val="28"/>
          <w:szCs w:val="28"/>
        </w:rPr>
        <w:t>ической документацией на извещатель.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Горизонтальное и вертикальное расстояние от извещателей до близлежащих предметов и устройств, до электросветильников, в любом случае должно быть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iCs/>
            <w:sz w:val="28"/>
            <w:szCs w:val="28"/>
          </w:rPr>
          <w:t>0,5 м</w:t>
        </w:r>
      </w:smartTag>
      <w:r>
        <w:rPr>
          <w:iCs/>
          <w:sz w:val="28"/>
          <w:szCs w:val="28"/>
        </w:rPr>
        <w:t>. Размещение пожарных извещателей должно осуществляться таки</w:t>
      </w:r>
      <w:r>
        <w:rPr>
          <w:iCs/>
          <w:sz w:val="28"/>
          <w:szCs w:val="28"/>
        </w:rPr>
        <w:t>м образом, чтобы близлежащие предметы и устройства (трубы, воздуховоды, оборудование и прочее) не препятствовали воздействию факторов пожара на извещатели, а источники светового излучения, электромагнитные помехи не влияли на сохранение извещателем работос</w:t>
      </w:r>
      <w:r>
        <w:rPr>
          <w:iCs/>
          <w:sz w:val="28"/>
          <w:szCs w:val="28"/>
        </w:rPr>
        <w:t>пособности.»;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пункт 13.3.8 изложить в следующей редакции: </w:t>
      </w:r>
    </w:p>
    <w:p w:rsidR="00000000" w:rsidRDefault="00750E37">
      <w:pPr>
        <w:tabs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«13.3.8 Точечные дымовые и тепловые пожарные извещатели следует устанавливать в каждом отсеке потолка шириной </w:t>
      </w:r>
      <w:smartTag w:uri="urn:schemas-microsoft-com:office:smarttags" w:element="metricconverter">
        <w:smartTagPr>
          <w:attr w:name="ProductID" w:val="0,75 м"/>
        </w:smartTagPr>
        <w:r>
          <w:rPr>
            <w:sz w:val="28"/>
            <w:szCs w:val="28"/>
          </w:rPr>
          <w:t>0,75 м</w:t>
        </w:r>
      </w:smartTag>
      <w:r>
        <w:rPr>
          <w:sz w:val="28"/>
          <w:szCs w:val="28"/>
        </w:rPr>
        <w:t xml:space="preserve"> и более,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ченном строительными конструкциями (балками, прогонами, ребрами п</w:t>
      </w:r>
      <w:r>
        <w:rPr>
          <w:sz w:val="28"/>
          <w:szCs w:val="28"/>
        </w:rPr>
        <w:t xml:space="preserve">лит и т. п.), выступающими от потолка на расстояние более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.</w:t>
      </w:r>
    </w:p>
    <w:p w:rsidR="00000000" w:rsidRDefault="00750E37">
      <w:pPr>
        <w:tabs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строительные конструкции выступают от потолка на расстояние более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 xml:space="preserve">, а образуемые ими отсеки по ширине меньше </w:t>
      </w:r>
      <w:smartTag w:uri="urn:schemas-microsoft-com:office:smarttags" w:element="metricconverter">
        <w:smartTagPr>
          <w:attr w:name="ProductID" w:val="0,75 м"/>
        </w:smartTagPr>
        <w:r>
          <w:rPr>
            <w:sz w:val="28"/>
            <w:szCs w:val="28"/>
          </w:rPr>
          <w:t>0,75 м</w:t>
        </w:r>
      </w:smartTag>
      <w:r>
        <w:rPr>
          <w:sz w:val="28"/>
          <w:szCs w:val="28"/>
        </w:rPr>
        <w:t>,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лируемая пожарными извещателями площадь, указанная в табли</w:t>
      </w:r>
      <w:r>
        <w:rPr>
          <w:sz w:val="28"/>
          <w:szCs w:val="28"/>
        </w:rPr>
        <w:t>цах 13.3 и 13.5, уменьшается на 40 %.</w:t>
      </w:r>
    </w:p>
    <w:p w:rsidR="00000000" w:rsidRDefault="00750E37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на потолке выступающих частей от 0,08 до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 xml:space="preserve"> контролируемая пожарными извещателями площадь, указанная в таблицах 13.3 и 13.5, уменьшается на 25 %.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расстояние между извещателями вдоль линейных</w:t>
      </w:r>
      <w:r>
        <w:rPr>
          <w:sz w:val="28"/>
          <w:szCs w:val="28"/>
        </w:rPr>
        <w:t xml:space="preserve"> балок определяется по таблицам 13.3 и 13.5 с учетом п.13.3.10.»;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пункт 13.15.9 изложить в следующей редакции: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«13.15.9 Соединительные линии, выполненные телефонными и контрольными кабелями, удовлетворяющими требованиям п. 13.15.7, должны иметь резервный </w:t>
      </w:r>
      <w:r>
        <w:rPr>
          <w:iCs/>
          <w:sz w:val="28"/>
          <w:szCs w:val="28"/>
        </w:rPr>
        <w:t>запас жил кабелей и клемм соединительных коробок не менее чем по 10 %.»;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абзац первый пункта 13.15.14 изложить в следующей редакции: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«13.15.14 </w:t>
      </w:r>
      <w:r>
        <w:rPr>
          <w:sz w:val="28"/>
          <w:szCs w:val="28"/>
        </w:rPr>
        <w:t>Не допускается совместная прокладка шлейфов пожарной сигнализации и соединительных линий систем пожарной автомат</w:t>
      </w:r>
      <w:r>
        <w:rPr>
          <w:sz w:val="28"/>
          <w:szCs w:val="28"/>
        </w:rPr>
        <w:t>ики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пряжением до 60 В с линиями напряжением 110 В и более в одном коробе, трубе, жгуте, замкнутом канале строительной конструкции или на одном лотке.»;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</w:t>
      </w:r>
      <w:r>
        <w:rPr>
          <w:iCs/>
          <w:sz w:val="28"/>
          <w:szCs w:val="28"/>
        </w:rPr>
        <w:t xml:space="preserve">бзац первый пункта 13.15.15 изложить в следующей редакции: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«13.15.15 </w:t>
      </w:r>
      <w:r>
        <w:rPr>
          <w:sz w:val="28"/>
          <w:szCs w:val="28"/>
        </w:rPr>
        <w:t>При параллельной открытой про</w:t>
      </w:r>
      <w:r>
        <w:rPr>
          <w:sz w:val="28"/>
          <w:szCs w:val="28"/>
        </w:rPr>
        <w:t>кладке расстояние от проводов и кабелей систем пожарной автоматики с напряжением до 60 В до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ловых и осветительных кабелей должно быть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>.».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В разделе 14: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>
        <w:rPr>
          <w:iCs/>
          <w:sz w:val="28"/>
          <w:szCs w:val="28"/>
        </w:rPr>
        <w:t xml:space="preserve">ункт 14.2 изложить в следующей редакции: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«14.2 </w:t>
      </w:r>
      <w:r>
        <w:rPr>
          <w:sz w:val="28"/>
          <w:szCs w:val="28"/>
        </w:rPr>
        <w:t>Формирование сигналов управления си</w:t>
      </w:r>
      <w:r>
        <w:rPr>
          <w:sz w:val="28"/>
          <w:szCs w:val="28"/>
        </w:rPr>
        <w:t>стемами оповещения 1, 2, 3, 4-го типа по [15], оборудованием противодымной защиты,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менной вентиляции и кондиционирования, инженерным оборудованием, участвующим в обеспечении пожарной безопасности объекта, а также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команд на отключение эле</w:t>
      </w:r>
      <w:r>
        <w:rPr>
          <w:sz w:val="28"/>
          <w:szCs w:val="28"/>
        </w:rPr>
        <w:t>ктропитания потребителей, сблокированных с системами пожарной автоматики, допускается осуществлять при срабатывании одного пожарного извещателя, удовлетворяющего рекомендациям, изложенным в приложении Р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 этом случае в помещении (части помещения) устанавл</w:t>
      </w:r>
      <w:r>
        <w:rPr>
          <w:sz w:val="28"/>
          <w:szCs w:val="28"/>
        </w:rPr>
        <w:t>ивается не менее двух извещателей, включенных по логической схеме «ИЛИ».</w:t>
      </w:r>
      <w:r>
        <w:rPr>
          <w:bCs/>
          <w:sz w:val="26"/>
          <w:szCs w:val="28"/>
        </w:rPr>
        <w:t xml:space="preserve"> </w:t>
      </w:r>
      <w:r>
        <w:rPr>
          <w:bCs/>
          <w:sz w:val="28"/>
          <w:szCs w:val="28"/>
        </w:rPr>
        <w:t>Расстановка извещателей осуществляется на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стоянии не более нормативного.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применении извещателей, дополнительно удовлетворяющих требованиям п.13.3.3 а), б), в), в помещении (ча</w:t>
      </w:r>
      <w:r>
        <w:rPr>
          <w:sz w:val="28"/>
          <w:szCs w:val="28"/>
        </w:rPr>
        <w:t>сти помещения) допускается установка одного пожарного извещателя.»;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14.4, 14.5 изложить в следующей редакции соответственно: 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«14.4 </w:t>
      </w:r>
      <w:r>
        <w:rPr>
          <w:color w:val="000000"/>
          <w:sz w:val="28"/>
          <w:szCs w:val="28"/>
        </w:rPr>
        <w:t xml:space="preserve">В помещение с круглосуточным пребыванием дежурного персонала должны быть выведены извещения о неисправности приборов </w:t>
      </w:r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троля и управления, установленных вне этого помещения, а также линий связи, контроля и управления техническими средствами оповещения людей при пожаре и управления эвакуацией, противодымной защиты, автоматического пожаротушения и других установок и устро</w:t>
      </w:r>
      <w:r>
        <w:rPr>
          <w:color w:val="000000"/>
          <w:sz w:val="28"/>
          <w:szCs w:val="28"/>
        </w:rPr>
        <w:t>йств противопожарной защиты.</w:t>
      </w:r>
    </w:p>
    <w:p w:rsidR="00000000" w:rsidRDefault="00750E37">
      <w:pPr>
        <w:autoSpaceDE w:val="0"/>
        <w:autoSpaceDN w:val="0"/>
        <w:adjustRightInd w:val="0"/>
        <w:ind w:firstLine="561"/>
        <w:rPr>
          <w:rFonts w:eastAsia="ArialMT"/>
          <w:sz w:val="28"/>
          <w:szCs w:val="28"/>
        </w:rPr>
      </w:pPr>
      <w:r>
        <w:rPr>
          <w:bCs/>
          <w:sz w:val="28"/>
          <w:szCs w:val="28"/>
        </w:rPr>
        <w:t>Проектной документацией</w:t>
      </w:r>
      <w:r>
        <w:rPr>
          <w:sz w:val="28"/>
          <w:szCs w:val="28"/>
        </w:rPr>
        <w:t xml:space="preserve"> должен быть определен получатель </w:t>
      </w:r>
      <w:r>
        <w:rPr>
          <w:rFonts w:eastAsia="ArialMT"/>
          <w:sz w:val="28"/>
          <w:szCs w:val="28"/>
        </w:rPr>
        <w:t xml:space="preserve">извещения о пожаре для </w:t>
      </w:r>
      <w:r>
        <w:rPr>
          <w:sz w:val="28"/>
          <w:szCs w:val="28"/>
        </w:rPr>
        <w:t>обеспечения</w:t>
      </w:r>
      <w:r>
        <w:rPr>
          <w:bCs/>
          <w:sz w:val="28"/>
          <w:szCs w:val="28"/>
        </w:rPr>
        <w:t xml:space="preserve"> выполнения задач в соответствии с разд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лом 17.</w:t>
      </w:r>
    </w:p>
    <w:p w:rsidR="00000000" w:rsidRDefault="00750E37">
      <w:pPr>
        <w:pStyle w:val="formattext"/>
        <w:ind w:firstLine="567"/>
        <w:jc w:val="both"/>
        <w:rPr>
          <w:sz w:val="28"/>
          <w:szCs w:val="28"/>
        </w:rPr>
      </w:pPr>
      <w:r>
        <w:rPr>
          <w:rFonts w:eastAsia="ArialMT"/>
          <w:sz w:val="28"/>
          <w:szCs w:val="28"/>
        </w:rPr>
        <w:t>На объектах класса функциональной опасности Ф 1.1 и Ф 4.1</w:t>
      </w:r>
      <w:r>
        <w:rPr>
          <w:sz w:val="28"/>
          <w:szCs w:val="28"/>
        </w:rPr>
        <w:t xml:space="preserve"> </w:t>
      </w:r>
      <w:r>
        <w:rPr>
          <w:rFonts w:eastAsia="ArialMT"/>
          <w:sz w:val="28"/>
          <w:szCs w:val="28"/>
        </w:rPr>
        <w:t xml:space="preserve">извещения о пожаре </w:t>
      </w:r>
      <w:r>
        <w:rPr>
          <w:sz w:val="28"/>
          <w:szCs w:val="28"/>
        </w:rPr>
        <w:t>должны пере</w:t>
      </w:r>
      <w:r>
        <w:rPr>
          <w:sz w:val="28"/>
          <w:szCs w:val="28"/>
        </w:rPr>
        <w:t>даваться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 объектов и любых организаций, транслирующих эти сигналы. Рекомендуется применять технические с</w:t>
      </w:r>
      <w:r>
        <w:rPr>
          <w:sz w:val="28"/>
          <w:szCs w:val="28"/>
        </w:rPr>
        <w:t>редства с устойчивостью к воздействиям электромагнитных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мех не ниже 3-й степени жесткости по ГОСТ Р 53325-2009.</w:t>
      </w:r>
    </w:p>
    <w:p w:rsidR="00000000" w:rsidRDefault="00750E37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на объекте персонала, ведущего круглосуточное дежурство, </w:t>
      </w:r>
      <w:r>
        <w:rPr>
          <w:rFonts w:eastAsia="ArialMT"/>
          <w:sz w:val="28"/>
          <w:szCs w:val="28"/>
        </w:rPr>
        <w:t xml:space="preserve">извещения о пожаре </w:t>
      </w:r>
      <w:r>
        <w:rPr>
          <w:sz w:val="28"/>
          <w:szCs w:val="28"/>
        </w:rPr>
        <w:t>должны передаваться в подразделения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охраны</w:t>
      </w:r>
      <w:r>
        <w:rPr>
          <w:sz w:val="28"/>
          <w:szCs w:val="28"/>
        </w:rPr>
        <w:t xml:space="preserve"> по выделенному в установленном порядке радиоканалу или другим линиям связи в автоматическом режиме. </w:t>
      </w:r>
    </w:p>
    <w:p w:rsidR="00000000" w:rsidRDefault="00750E37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других объектах при наличии технической возможности рекомендуется осуществлять дублирование сигналов автоматической пожарной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нализации о пожаре в по</w:t>
      </w:r>
      <w:r>
        <w:rPr>
          <w:sz w:val="28"/>
          <w:szCs w:val="28"/>
        </w:rPr>
        <w:t>дразделения пожарной охраны по выделенному в установленном порядке радиоканалу или другим линиям связи в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тическом режиме. </w:t>
      </w:r>
    </w:p>
    <w:p w:rsidR="00000000" w:rsidRDefault="00750E37">
      <w:pPr>
        <w:pStyle w:val="formattex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этом должны обеспечиваться мероприятия по повышению достоверности </w:t>
      </w:r>
      <w:r>
        <w:rPr>
          <w:rFonts w:eastAsia="ArialMT"/>
          <w:sz w:val="28"/>
          <w:szCs w:val="28"/>
        </w:rPr>
        <w:t>извещения</w:t>
      </w:r>
      <w:r>
        <w:rPr>
          <w:sz w:val="28"/>
          <w:szCs w:val="28"/>
        </w:rPr>
        <w:t xml:space="preserve"> о пожаре, например, передача извещений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Внимани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Пожар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 др.</w:t>
      </w:r>
    </w:p>
    <w:p w:rsidR="00000000" w:rsidRDefault="00750E37">
      <w:pPr>
        <w:pStyle w:val="formattext"/>
        <w:spacing w:line="264" w:lineRule="auto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14.5 </w:t>
      </w:r>
      <w:r>
        <w:rPr>
          <w:sz w:val="28"/>
          <w:szCs w:val="28"/>
        </w:rPr>
        <w:t xml:space="preserve">Пуск системы противодымной вентиляции рекомендуется осуществлять от дымовых или газовых пожарных извещателей, в том числе и в случае </w:t>
      </w:r>
    </w:p>
    <w:p w:rsidR="00000000" w:rsidRDefault="00750E37">
      <w:pPr>
        <w:pStyle w:val="formattex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на объекте спринклерной установки пожаротушения.</w:t>
      </w:r>
    </w:p>
    <w:p w:rsidR="00000000" w:rsidRDefault="00750E37">
      <w:pPr>
        <w:pStyle w:val="formattext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Пуск системы противодымной вентиляции д</w:t>
      </w:r>
      <w:r>
        <w:rPr>
          <w:sz w:val="28"/>
          <w:szCs w:val="28"/>
        </w:rPr>
        <w:t>олжен производиться от пожарных извещателей:</w:t>
      </w:r>
    </w:p>
    <w:p w:rsidR="00000000" w:rsidRDefault="00750E37">
      <w:pPr>
        <w:pStyle w:val="formattext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время срабатывания автоматической установки спринклерного пожаротушения более времени, необходимого для срабатывания системы противодымной вентиляции и для обеспечения безопасной эвакуации;</w:t>
      </w:r>
    </w:p>
    <w:p w:rsidR="00000000" w:rsidRDefault="00750E37">
      <w:pPr>
        <w:pStyle w:val="formattext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огнетушащее</w:t>
      </w:r>
      <w:r>
        <w:rPr>
          <w:sz w:val="28"/>
          <w:szCs w:val="28"/>
        </w:rPr>
        <w:t xml:space="preserve"> вещество (вода) спринклерной установки водяного пожаротушения затрудняет эвакуацию людей.</w:t>
      </w:r>
    </w:p>
    <w:p w:rsidR="00000000" w:rsidRDefault="00750E37">
      <w:pPr>
        <w:pStyle w:val="formattext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системы противодымной вентиляции допускается включать от спринклерной установки пожаротушения.».</w:t>
      </w:r>
    </w:p>
    <w:p w:rsidR="00000000" w:rsidRDefault="00750E37">
      <w:pPr>
        <w:pStyle w:val="formattext"/>
        <w:spacing w:line="264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z w:val="28"/>
          <w:szCs w:val="28"/>
        </w:rPr>
        <w:t>Пункт 15.1 раздела 15 изложить в следующей ре</w:t>
      </w:r>
      <w:r>
        <w:rPr>
          <w:color w:val="000000"/>
          <w:sz w:val="28"/>
          <w:szCs w:val="28"/>
        </w:rPr>
        <w:t xml:space="preserve">дакции: </w:t>
      </w:r>
    </w:p>
    <w:p w:rsidR="00000000" w:rsidRDefault="00750E37">
      <w:pPr>
        <w:pStyle w:val="formattex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«15.1 </w:t>
      </w:r>
      <w:r>
        <w:rPr>
          <w:sz w:val="28"/>
          <w:szCs w:val="28"/>
        </w:rPr>
        <w:t xml:space="preserve">По степени обеспечения надежности электроснабжения системы противопожарной защиты следует относить к I категории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 устройства электроустановок, за исключением электродвигателей компрессора, насосов дренажного и подкачки пено</w:t>
      </w:r>
      <w:r>
        <w:rPr>
          <w:sz w:val="28"/>
          <w:szCs w:val="28"/>
        </w:rPr>
        <w:t>образователя,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к III категории электроснабжения, а также случаев, указанных в п.п. 15.3, 15.4.</w:t>
      </w:r>
    </w:p>
    <w:p w:rsidR="00000000" w:rsidRDefault="00750E37">
      <w:pPr>
        <w:pStyle w:val="formattext"/>
        <w:spacing w:line="264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Электроснабжение систем противопожарной защиты зданий класса функциональной пожарной опасности Ф1.1</w:t>
      </w:r>
      <w:r>
        <w:rPr>
          <w:color w:val="000000"/>
          <w:sz w:val="28"/>
          <w:szCs w:val="28"/>
        </w:rPr>
        <w:t xml:space="preserve"> с круглосуточным пребыванием людей</w:t>
      </w:r>
      <w:r>
        <w:rPr>
          <w:sz w:val="28"/>
          <w:szCs w:val="28"/>
        </w:rPr>
        <w:t xml:space="preserve"> должно обеспечи</w:t>
      </w:r>
      <w:r>
        <w:rPr>
          <w:sz w:val="28"/>
          <w:szCs w:val="28"/>
        </w:rPr>
        <w:t>ваться от трех независимых взаимно резервирующих источников питания, в качестве одного из которых следует применять автономные электрогенераторы.</w:t>
      </w:r>
      <w:r>
        <w:rPr>
          <w:color w:val="000000"/>
          <w:sz w:val="28"/>
          <w:szCs w:val="28"/>
        </w:rPr>
        <w:t>».</w:t>
      </w:r>
    </w:p>
    <w:p w:rsidR="00000000" w:rsidRDefault="00750E37">
      <w:pPr>
        <w:pStyle w:val="formattext"/>
        <w:spacing w:line="264" w:lineRule="auto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9) В приложении А:</w:t>
      </w:r>
    </w:p>
    <w:p w:rsidR="00000000" w:rsidRDefault="00750E37">
      <w:pPr>
        <w:pStyle w:val="formattext"/>
        <w:spacing w:line="264" w:lineRule="auto"/>
        <w:ind w:firstLine="540"/>
        <w:jc w:val="both"/>
        <w:rPr>
          <w:iCs/>
          <w:sz w:val="28"/>
          <w:szCs w:val="27"/>
        </w:rPr>
      </w:pPr>
      <w:r>
        <w:rPr>
          <w:iCs/>
          <w:sz w:val="28"/>
          <w:szCs w:val="28"/>
        </w:rPr>
        <w:t>п</w:t>
      </w:r>
      <w:r>
        <w:rPr>
          <w:iCs/>
          <w:sz w:val="28"/>
          <w:szCs w:val="27"/>
        </w:rPr>
        <w:t xml:space="preserve">ункт А.2 изложить в следующей редакции: </w:t>
      </w:r>
    </w:p>
    <w:p w:rsidR="00000000" w:rsidRDefault="00750E37">
      <w:pPr>
        <w:pStyle w:val="formattext"/>
        <w:ind w:firstLine="540"/>
        <w:jc w:val="both"/>
        <w:rPr>
          <w:sz w:val="28"/>
          <w:szCs w:val="28"/>
        </w:rPr>
      </w:pPr>
      <w:r>
        <w:rPr>
          <w:iCs/>
          <w:sz w:val="28"/>
          <w:szCs w:val="27"/>
        </w:rPr>
        <w:t>«</w:t>
      </w:r>
      <w:r>
        <w:rPr>
          <w:sz w:val="28"/>
          <w:szCs w:val="28"/>
        </w:rPr>
        <w:t>А.2 Под зданием в настоящем приложении понимае</w:t>
      </w:r>
      <w:r>
        <w:rPr>
          <w:sz w:val="28"/>
          <w:szCs w:val="28"/>
        </w:rPr>
        <w:t>тся здание в целом или часть здания (пожарный отсек), выделенные противопожарными стенами и противопожарными перекрытиями 1-го типа.</w:t>
      </w:r>
    </w:p>
    <w:p w:rsidR="00000000" w:rsidRDefault="00750E37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нормативным показателем площади помещения в разделе III настоящего приложения понимается площадь части здания или соору</w:t>
      </w:r>
      <w:r>
        <w:rPr>
          <w:sz w:val="28"/>
          <w:szCs w:val="28"/>
        </w:rPr>
        <w:t>жения, выделенная ограждающими конструкциями, отнесенными к противопожарным преградам с пределом огнестойкости: перегородки - не менее EI 45, стены и перекрытия - не менее REI 45. Для зданий и сооружений, в составе которых отсутствуют   части   (помещения)</w:t>
      </w:r>
      <w:r>
        <w:rPr>
          <w:sz w:val="28"/>
          <w:szCs w:val="28"/>
        </w:rPr>
        <w:t>,     выделенные     огражда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    конструкциями  с</w:t>
      </w:r>
    </w:p>
    <w:p w:rsidR="00000000" w:rsidRDefault="00750E3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пределом огнестойкости, под нормативным показателем площади помещения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приложения понимается площадь, выделенная наружными ограждающими конструкциями здания или сооруж</w:t>
      </w:r>
      <w:r>
        <w:rPr>
          <w:sz w:val="28"/>
          <w:szCs w:val="28"/>
        </w:rPr>
        <w:t>ения.»;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таблице А.1: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7"/>
        </w:rPr>
      </w:pPr>
      <w:r>
        <w:rPr>
          <w:iCs/>
          <w:sz w:val="28"/>
          <w:szCs w:val="28"/>
        </w:rPr>
        <w:t xml:space="preserve">пункты 4, 5 и 6 </w:t>
      </w:r>
      <w:r>
        <w:rPr>
          <w:iCs/>
          <w:sz w:val="28"/>
          <w:szCs w:val="27"/>
        </w:rPr>
        <w:t>изложить в следующей редакции соответственно: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842"/>
        <w:gridCol w:w="1701"/>
      </w:tblGrid>
      <w:tr w:rsidR="00000000"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pict>
                <v:shape id="_x0000_s1035" type="#_x0000_t202" style="position:absolute;left:0;text-align:left;margin-left:-26.15pt;margin-top:-8.65pt;width:31.6pt;height:23.7pt;z-index:-251657728;mso-height-percent:200;mso-height-percent:200;mso-width-relative:margin;mso-height-relative:margin" strokecolor="white">
                  <v:textbox style="mso-next-textbox:#_x0000_s1035;mso-fit-shape-to-text:t">
                    <w:txbxContent>
                      <w:p w:rsidR="00000000" w:rsidRDefault="00750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8"/>
                <w:szCs w:val="28"/>
              </w:rPr>
              <w:t>Объект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АУПС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Нормативный показатель</w:t>
            </w: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Здания и сооружения для автомобилей: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Автостоянки закрытого типа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 Подземные</w:t>
            </w:r>
            <w:r>
              <w:rPr>
                <w:sz w:val="28"/>
                <w:szCs w:val="28"/>
              </w:rPr>
              <w:t xml:space="preserve">, надземные высотой 2 этажа и более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площади и этажности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 Надземные одноэтажные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4.1.2.1 Здания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степеней огнестойкости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общей площади 7000 кв.м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92" w:hanging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общей площади менее 7000 кв.м</w:t>
            </w: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4.1.2.2 Здани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степени огнестойкости класса конструктивной пожарной опасности С0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общей площади 3600 кв.м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92" w:hanging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общей площади менее 3600 кв.м</w:t>
            </w: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4.1.2.3 Здания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степени огнестойкости класса конструктивной пожарной опасности С1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общей площади 2000 </w:t>
            </w:r>
            <w:r>
              <w:rPr>
                <w:sz w:val="28"/>
                <w:szCs w:val="28"/>
              </w:rPr>
              <w:t>кв.м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92" w:hanging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общей площади менее 2000 кв.м</w:t>
            </w: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4.1.2.4 Здания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степени огнестойкости класса конструктивной пожарной опасности С2, С3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общей площади 1000 кв.м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92" w:hanging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общей площади менее 1000 кв.м</w:t>
            </w: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 Здания механизированных автостоя</w:t>
            </w:r>
            <w:r>
              <w:rPr>
                <w:sz w:val="28"/>
                <w:szCs w:val="28"/>
              </w:rPr>
              <w:t>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площади и этажности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r>
              <w:rPr>
                <w:sz w:val="28"/>
                <w:szCs w:val="28"/>
              </w:rPr>
              <w:t>4.2 Для технического обслуживания и ремонта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По </w:t>
            </w:r>
            <w:r>
              <w:rPr>
                <w:color w:val="000000"/>
                <w:sz w:val="28"/>
                <w:szCs w:val="28"/>
                <w:lang w:val="en-US"/>
              </w:rPr>
              <w:t>[20]</w:t>
            </w:r>
          </w:p>
        </w:tc>
      </w:tr>
      <w:tr w:rsidR="00000000"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92" w:hanging="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АУПС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Нормативный показатель</w:t>
            </w:r>
          </w:p>
        </w:tc>
      </w:tr>
      <w:tr w:rsidR="00000000">
        <w:trPr>
          <w:trHeight w:val="14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Здания высотой более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30 м</w:t>
              </w:r>
            </w:smartTag>
            <w:r>
              <w:rPr>
                <w:sz w:val="28"/>
                <w:szCs w:val="28"/>
              </w:rPr>
              <w:t xml:space="preserve"> (за исключением жилых зданий и производственных </w:t>
            </w:r>
            <w:r>
              <w:rPr>
                <w:sz w:val="28"/>
                <w:szCs w:val="28"/>
              </w:rPr>
              <w:t>зданий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тегории Г и Д по пожарной опасности)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Жилые здания: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pStyle w:val="af1"/>
              <w:spacing w:line="264" w:lineRule="auto"/>
              <w:ind w:left="0"/>
              <w:rPr>
                <w:sz w:val="28"/>
                <w:szCs w:val="28"/>
              </w:rPr>
            </w:pPr>
          </w:p>
        </w:tc>
      </w:tr>
      <w:tr w:rsidR="00000000">
        <w:trPr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Общежития, специализированные жилые дома для престарелых и инвалидов 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площади</w:t>
            </w:r>
          </w:p>
        </w:tc>
      </w:tr>
      <w:tr w:rsidR="00000000">
        <w:trPr>
          <w:trHeight w:val="40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Жилые здания высотой более 28 м </w:t>
            </w:r>
            <w:r>
              <w:rPr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0"/>
              <w:rPr>
                <w:sz w:val="28"/>
                <w:szCs w:val="28"/>
              </w:rPr>
            </w:pPr>
            <w:r>
              <w:pict>
                <v:shape id="_x0000_s1037" type="#_x0000_t202" style="position:absolute;margin-left:74.6pt;margin-top:12.5pt;width:25.6pt;height:37.2pt;z-index:-251655680;mso-height-percent:200;mso-position-horizontal-relative:text;mso-position-vertical-relative:text;mso-height-percent:200;mso-width-relative:margin;mso-height-relative:margin" stroked="f">
                  <v:textbox style="mso-next-textbox:#_x0000_s1037;mso-fit-shape-to-text:t">
                    <w:txbxContent>
                      <w:p w:rsidR="00000000" w:rsidRDefault="00750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000000" w:rsidRDefault="00750E37"/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>Независимо от площади</w:t>
            </w:r>
          </w:p>
        </w:tc>
      </w:tr>
    </w:tbl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sz w:val="28"/>
        </w:rPr>
        <w:t xml:space="preserve">сноску « </w:t>
      </w:r>
      <w:r>
        <w:rPr>
          <w:sz w:val="28"/>
          <w:vertAlign w:val="superscript"/>
        </w:rPr>
        <w:t xml:space="preserve">2) </w:t>
      </w:r>
      <w:r>
        <w:rPr>
          <w:sz w:val="28"/>
        </w:rPr>
        <w:t xml:space="preserve">» </w:t>
      </w:r>
      <w:r>
        <w:rPr>
          <w:iCs/>
          <w:sz w:val="28"/>
          <w:szCs w:val="28"/>
        </w:rPr>
        <w:t>изложить в следующей редакции: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</w:rPr>
      </w:pPr>
      <w:r>
        <w:rPr>
          <w:sz w:val="28"/>
        </w:rPr>
        <w:t xml:space="preserve">« </w:t>
      </w:r>
      <w:r>
        <w:rPr>
          <w:sz w:val="28"/>
          <w:vertAlign w:val="superscript"/>
        </w:rPr>
        <w:t>2)</w:t>
      </w:r>
      <w:r>
        <w:rPr>
          <w:sz w:val="28"/>
        </w:rPr>
        <w:t xml:space="preserve"> Пожарные извещатели АУПС устанавливаются в прихожих квартир и используются для открывания клапанов и включения вентиляторов у</w:t>
      </w:r>
      <w:r>
        <w:rPr>
          <w:sz w:val="28"/>
        </w:rPr>
        <w:t>с</w:t>
      </w:r>
      <w:r>
        <w:rPr>
          <w:sz w:val="28"/>
        </w:rPr>
        <w:t>тановок подпора воздуха и дымоудаления. Жилые помещения</w:t>
      </w:r>
      <w:r>
        <w:rPr>
          <w:sz w:val="28"/>
        </w:rPr>
        <w:t xml:space="preserve"> квартир в жилых зданиях высотой три этажа и более следует оборудовать автоно</w:t>
      </w:r>
      <w:r>
        <w:rPr>
          <w:sz w:val="28"/>
        </w:rPr>
        <w:t>м</w:t>
      </w:r>
      <w:r>
        <w:rPr>
          <w:sz w:val="28"/>
        </w:rPr>
        <w:t>ными оптико-электронными дымовыми пожарными извещателями.»;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</w:rPr>
      </w:pPr>
      <w:r>
        <w:rPr>
          <w:sz w:val="28"/>
        </w:rPr>
        <w:t>в таблице А.3: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пункт 6 включить в раздел «Производственные помещения», исключив его из раздела «Помещения складского н</w:t>
      </w:r>
      <w:r>
        <w:rPr>
          <w:iCs/>
          <w:sz w:val="28"/>
          <w:szCs w:val="28"/>
        </w:rPr>
        <w:t>азначения»;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>пункт 35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842"/>
        <w:gridCol w:w="1843"/>
      </w:tblGrid>
      <w:tr w:rsidR="00000000"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pict>
                <v:shape id="_x0000_s1036" type="#_x0000_t202" style="position:absolute;left:0;text-align:left;margin-left:-28.75pt;margin-top:-9.05pt;width:31.6pt;height:23.7pt;z-index:-251656704;mso-height-percent:200;mso-height-percent:200;mso-width-relative:margin;mso-height-relative:margin" strokecolor="white">
                  <v:textbox style="mso-next-textbox:#_x0000_s1036;mso-fit-shape-to-text:t">
                    <w:txbxContent>
                      <w:p w:rsidR="00000000" w:rsidRDefault="00750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8"/>
                <w:szCs w:val="28"/>
              </w:rPr>
              <w:t>Объект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92" w:hanging="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АУПС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Нормативный показатель</w:t>
            </w: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Помещения для размещения: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35.1 </w:t>
            </w:r>
            <w:r>
              <w:rPr>
                <w:rFonts w:eastAsia="ArialMT"/>
                <w:sz w:val="28"/>
                <w:szCs w:val="28"/>
              </w:rPr>
              <w:t>Электронно-вычислительных машин (ЭВМ), оборудования АСУ ТП, работающих в системах управления с</w:t>
            </w:r>
            <w:r>
              <w:rPr>
                <w:rFonts w:eastAsia="ArialMT"/>
                <w:sz w:val="28"/>
                <w:szCs w:val="28"/>
              </w:rPr>
              <w:t>ложными технологич</w:t>
            </w:r>
            <w:r>
              <w:rPr>
                <w:rFonts w:eastAsia="ArialMT"/>
                <w:sz w:val="28"/>
                <w:szCs w:val="28"/>
              </w:rPr>
              <w:t>е</w:t>
            </w:r>
            <w:r>
              <w:rPr>
                <w:rFonts w:eastAsia="ArialMT"/>
                <w:sz w:val="28"/>
                <w:szCs w:val="28"/>
              </w:rPr>
              <w:t>скими процессами, нарушение которых влияет на безопасность людей</w:t>
            </w:r>
            <w:r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 от площади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35.2 </w:t>
            </w:r>
            <w:r>
              <w:rPr>
                <w:rFonts w:eastAsia="ArialMT"/>
                <w:sz w:val="28"/>
                <w:szCs w:val="28"/>
              </w:rPr>
              <w:t>Связных процессоров (серверные), арх</w:t>
            </w:r>
            <w:r>
              <w:rPr>
                <w:rFonts w:eastAsia="ArialMT"/>
                <w:sz w:val="28"/>
                <w:szCs w:val="28"/>
              </w:rPr>
              <w:t>и</w:t>
            </w:r>
            <w:r>
              <w:rPr>
                <w:rFonts w:eastAsia="ArialMT"/>
                <w:sz w:val="28"/>
                <w:szCs w:val="28"/>
              </w:rPr>
              <w:t>вов магнитных носителей, графопостроителей, печати информации на бумажных носителях (принтерные)</w:t>
            </w:r>
            <w:r>
              <w:rPr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 м2"/>
              </w:smartTagPr>
              <w:r>
                <w:rPr>
                  <w:sz w:val="28"/>
                  <w:szCs w:val="28"/>
                </w:rPr>
                <w:t>24 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  <w:r>
              <w:rPr>
                <w:sz w:val="28"/>
                <w:szCs w:val="28"/>
              </w:rPr>
              <w:t xml:space="preserve"> и </w:t>
            </w:r>
          </w:p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24 м2"/>
              </w:smartTagPr>
              <w:r>
                <w:rPr>
                  <w:color w:val="000000"/>
                  <w:sz w:val="28"/>
                  <w:szCs w:val="28"/>
                </w:rPr>
                <w:t xml:space="preserve">24 </w:t>
              </w:r>
              <w:r>
                <w:rPr>
                  <w:sz w:val="28"/>
                  <w:szCs w:val="28"/>
                </w:rPr>
                <w:t>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 Для размещения персональных ЭВМ на рабочих столах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pict>
                <v:shape id="_x0000_s1030" type="#_x0000_t202" style="position:absolute;left:0;text-align:left;margin-left:81.95pt;margin-top:12.5pt;width:25.6pt;height:22.95pt;z-index:-25166080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000000" w:rsidRDefault="00750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>Независимо от площади</w:t>
            </w:r>
          </w:p>
        </w:tc>
      </w:tr>
    </w:tbl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</w:rPr>
      </w:pP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</w:rPr>
      </w:pPr>
      <w:r>
        <w:rPr>
          <w:sz w:val="28"/>
        </w:rPr>
        <w:t xml:space="preserve">дополнить сноской « </w:t>
      </w:r>
      <w:r>
        <w:rPr>
          <w:sz w:val="28"/>
          <w:vertAlign w:val="superscript"/>
        </w:rPr>
        <w:t xml:space="preserve">5) </w:t>
      </w:r>
      <w:r>
        <w:rPr>
          <w:sz w:val="28"/>
        </w:rPr>
        <w:t xml:space="preserve">» </w:t>
      </w:r>
      <w:r>
        <w:rPr>
          <w:iCs/>
          <w:sz w:val="28"/>
          <w:szCs w:val="28"/>
        </w:rPr>
        <w:t>следующего содержания</w:t>
      </w:r>
      <w:r>
        <w:rPr>
          <w:sz w:val="28"/>
        </w:rPr>
        <w:t>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« </w:t>
      </w:r>
      <w:r>
        <w:rPr>
          <w:sz w:val="28"/>
          <w:vertAlign w:val="superscript"/>
        </w:rPr>
        <w:t>5)</w:t>
      </w:r>
      <w:r>
        <w:rPr>
          <w:sz w:val="28"/>
        </w:rPr>
        <w:t xml:space="preserve"> </w:t>
      </w:r>
      <w:r>
        <w:rPr>
          <w:sz w:val="28"/>
          <w:szCs w:val="28"/>
        </w:rPr>
        <w:t>В случаях, предусмотренных пунктом 8.15.1 настоящего свода прави</w:t>
      </w:r>
      <w:r>
        <w:rPr>
          <w:sz w:val="28"/>
          <w:szCs w:val="28"/>
        </w:rPr>
        <w:t>л, для помещений, требующих оснащения автоматическими установк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газового пожаротушения допускается не применять такие установки, при условии, что все электронное и электротехническое оборудование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щищено автономными установками пожаротушения, а в помеще</w:t>
      </w:r>
      <w:r>
        <w:rPr>
          <w:sz w:val="28"/>
          <w:szCs w:val="28"/>
        </w:rPr>
        <w:t>ниях установлена автоматическая пожарная сигнализация.»;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таблице А.4: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пунктом 8 следующего содержания: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842"/>
        <w:gridCol w:w="1843"/>
      </w:tblGrid>
      <w:tr w:rsidR="00000000"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pict>
                <v:shape id="_x0000_s1034" type="#_x0000_t202" style="position:absolute;left:0;text-align:left;margin-left:-24.2pt;margin-top:-8.1pt;width:31.6pt;height:23.7pt;z-index:-251658752;mso-height-percent:200;mso-height-percent:200;mso-width-relative:margin;mso-height-relative:margin" strokecolor="white">
                  <v:textbox style="mso-next-textbox:#_x0000_s1034;mso-fit-shape-to-text:t">
                    <w:txbxContent>
                      <w:p w:rsidR="00000000" w:rsidRDefault="00750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8"/>
                <w:szCs w:val="28"/>
              </w:rPr>
              <w:t>Объект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92" w:hanging="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АУПС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50E37">
            <w:pPr>
              <w:pStyle w:val="af1"/>
              <w:spacing w:line="264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Нормативный показатель</w:t>
            </w:r>
          </w:p>
        </w:tc>
      </w:tr>
      <w:tr w:rsidR="0000000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="ArialMT"/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Электрощиты и электрошкафы (в том числе распределительных устройств), </w:t>
            </w:r>
            <w:r>
              <w:rPr>
                <w:sz w:val="28"/>
                <w:szCs w:val="28"/>
              </w:rPr>
              <w:t>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в помещениях класса функциональной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опасности Ф1.1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0,1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000000" w:rsidRDefault="00750E3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50E37">
            <w:pPr>
              <w:pStyle w:val="af1"/>
              <w:spacing w:line="264" w:lineRule="auto"/>
              <w:ind w:left="0"/>
              <w:rPr>
                <w:color w:val="000000"/>
                <w:sz w:val="28"/>
                <w:szCs w:val="28"/>
              </w:rPr>
            </w:pPr>
            <w:r>
              <w:pict>
                <v:shape id="_x0000_s1031" type="#_x0000_t202" style="position:absolute;margin-left:80.95pt;margin-top:50.1pt;width:25.6pt;height:22.95pt;z-index:-251659776;mso-height-percent:200;mso-position-horizontal-relative:text;mso-position-vertical-relative:text;mso-height-percent:200;mso-width-relative:margin;mso-height-relative:margin" stroked="f">
                  <v:textbox style="mso-next-textbox:#_x0000_s1031;mso-fit-shape-to-text:t">
                    <w:txbxContent>
                      <w:p w:rsidR="00000000" w:rsidRDefault="00750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дополнить сноской </w:t>
      </w:r>
      <w:r>
        <w:rPr>
          <w:sz w:val="28"/>
        </w:rPr>
        <w:t xml:space="preserve">« </w:t>
      </w:r>
      <w:r>
        <w:rPr>
          <w:sz w:val="28"/>
          <w:vertAlign w:val="superscript"/>
        </w:rPr>
        <w:t xml:space="preserve">1) </w:t>
      </w:r>
      <w:r>
        <w:rPr>
          <w:sz w:val="28"/>
        </w:rPr>
        <w:t xml:space="preserve">» </w:t>
      </w:r>
      <w:r>
        <w:rPr>
          <w:iCs/>
          <w:sz w:val="28"/>
          <w:szCs w:val="28"/>
        </w:rPr>
        <w:t>следующего содержания: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sz w:val="28"/>
        </w:rPr>
      </w:pPr>
      <w:r>
        <w:rPr>
          <w:sz w:val="28"/>
        </w:rPr>
        <w:t xml:space="preserve">« </w:t>
      </w:r>
      <w:r>
        <w:rPr>
          <w:sz w:val="28"/>
          <w:vertAlign w:val="superscript"/>
        </w:rPr>
        <w:t xml:space="preserve">1) </w:t>
      </w:r>
      <w:r>
        <w:rPr>
          <w:sz w:val="28"/>
          <w:szCs w:val="28"/>
        </w:rPr>
        <w:t>Перечисленное оборудование подлежит защите автономными установками пожаротушения.»;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sz w:val="28"/>
        </w:rPr>
        <w:t>дополнить примечанием</w:t>
      </w:r>
      <w:r>
        <w:rPr>
          <w:sz w:val="28"/>
        </w:rPr>
        <w:t xml:space="preserve"> </w:t>
      </w:r>
      <w:r>
        <w:rPr>
          <w:iCs/>
          <w:sz w:val="28"/>
          <w:szCs w:val="28"/>
        </w:rPr>
        <w:t>следующего содержания:</w:t>
      </w:r>
    </w:p>
    <w:p w:rsidR="00000000" w:rsidRDefault="00750E37">
      <w:pPr>
        <w:tabs>
          <w:tab w:val="num" w:pos="1647"/>
        </w:tabs>
        <w:spacing w:line="264" w:lineRule="auto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«Примечание: Электроустановки, расположенные на стационарных наземных и подземных объектах метрополитена следует защищать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ными установками пожаротушения.»;</w:t>
      </w:r>
    </w:p>
    <w:p w:rsidR="00000000" w:rsidRDefault="00750E37">
      <w:pPr>
        <w:spacing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Д дополнить пунктами Д11-Д15 </w:t>
      </w:r>
      <w:r>
        <w:rPr>
          <w:iCs/>
          <w:sz w:val="28"/>
          <w:szCs w:val="28"/>
        </w:rPr>
        <w:t>следующего содержания соответ</w:t>
      </w:r>
      <w:r>
        <w:rPr>
          <w:iCs/>
          <w:sz w:val="28"/>
          <w:szCs w:val="28"/>
        </w:rPr>
        <w:t>ственно</w:t>
      </w:r>
      <w:r>
        <w:rPr>
          <w:sz w:val="28"/>
          <w:szCs w:val="28"/>
        </w:rPr>
        <w:t>:</w:t>
      </w:r>
    </w:p>
    <w:p w:rsidR="00000000" w:rsidRDefault="00750E37">
      <w:pPr>
        <w:pStyle w:val="formattext"/>
        <w:widowControl/>
        <w:spacing w:line="256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«Д.11 Нормативная объемная огнетушащая концентрация хладона ТФМ-18И.</w:t>
      </w:r>
    </w:p>
    <w:p w:rsidR="00000000" w:rsidRDefault="00750E37">
      <w:pPr>
        <w:pStyle w:val="formattext"/>
        <w:widowControl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паров при 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= 101,3 кПа и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= 20 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С составляет 3,24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00000" w:rsidRDefault="00750E37">
      <w:pPr>
        <w:pStyle w:val="formattext"/>
        <w:keepNext/>
        <w:widowControl/>
        <w:spacing w:after="120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Таблица</w:t>
      </w:r>
      <w:r>
        <w:rPr>
          <w:sz w:val="28"/>
          <w:szCs w:val="28"/>
        </w:rPr>
        <w:t xml:space="preserve"> Д.11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3117"/>
        <w:gridCol w:w="3117"/>
        <w:gridCol w:w="3405"/>
      </w:tblGrid>
      <w:tr w:rsidR="00000000"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горючего материала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ГОСТ, ТУ, ОСТ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объемная </w:t>
            </w:r>
            <w:r>
              <w:rPr>
                <w:sz w:val="24"/>
                <w:szCs w:val="24"/>
              </w:rPr>
              <w:br/>
              <w:t>огнетушащая концентр</w:t>
            </w:r>
            <w:r>
              <w:rPr>
                <w:sz w:val="24"/>
                <w:szCs w:val="24"/>
              </w:rPr>
              <w:t>ация,  % (об.)</w:t>
            </w:r>
          </w:p>
        </w:tc>
      </w:tr>
      <w:tr w:rsidR="00000000">
        <w:tc>
          <w:tcPr>
            <w:tcW w:w="31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Н-гептан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25823</w:t>
            </w:r>
          </w:p>
        </w:tc>
        <w:tc>
          <w:tcPr>
            <w:tcW w:w="34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</w:tbl>
    <w:p w:rsidR="00000000" w:rsidRDefault="00750E37">
      <w:pPr>
        <w:pStyle w:val="formattext"/>
        <w:widowControl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Д.12 Нормативная объемная огнетушащая концентрация хладона </w:t>
      </w:r>
      <w:r>
        <w:rPr>
          <w:sz w:val="28"/>
          <w:szCs w:val="28"/>
          <w:lang w:val="en-US"/>
        </w:rPr>
        <w:t>CF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CF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000000" w:rsidRDefault="00750E37">
      <w:pPr>
        <w:pStyle w:val="formattex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паров при 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= 101,3 кПа и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= 20 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С составляет 13,6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00000" w:rsidRDefault="00750E37">
      <w:pPr>
        <w:pStyle w:val="formattext"/>
        <w:keepNext/>
        <w:widowControl/>
        <w:spacing w:after="120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Таблица </w:t>
      </w:r>
      <w:r>
        <w:rPr>
          <w:sz w:val="28"/>
          <w:szCs w:val="28"/>
        </w:rPr>
        <w:t>Д.12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3126"/>
        <w:gridCol w:w="3126"/>
        <w:gridCol w:w="3126"/>
      </w:tblGrid>
      <w:tr w:rsidR="00000000"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горючего материала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ГОСТ, ТУ, О</w:t>
            </w:r>
            <w:r>
              <w:rPr>
                <w:sz w:val="24"/>
                <w:szCs w:val="24"/>
              </w:rPr>
              <w:t>СТ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объемная </w:t>
            </w:r>
            <w:r>
              <w:rPr>
                <w:sz w:val="24"/>
                <w:szCs w:val="24"/>
              </w:rPr>
              <w:br/>
              <w:t>огнетушащая концентрация, % (об.)</w:t>
            </w:r>
          </w:p>
        </w:tc>
      </w:tr>
      <w:tr w:rsidR="00000000">
        <w:tc>
          <w:tcPr>
            <w:tcW w:w="3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Н-гептан</w:t>
            </w:r>
          </w:p>
        </w:tc>
        <w:tc>
          <w:tcPr>
            <w:tcW w:w="3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25823</w:t>
            </w:r>
          </w:p>
        </w:tc>
        <w:tc>
          <w:tcPr>
            <w:tcW w:w="3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</w:tbl>
    <w:p w:rsidR="00000000" w:rsidRDefault="00750E37">
      <w:pPr>
        <w:pStyle w:val="formattext"/>
        <w:widowControl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Д.13 Нормативная объемная огнетушащая концентрация хладона 217</w:t>
      </w:r>
      <w:r>
        <w:rPr>
          <w:spacing w:val="-4"/>
          <w:sz w:val="28"/>
          <w:szCs w:val="28"/>
          <w:lang w:val="en-US"/>
        </w:rPr>
        <w:t>J</w:t>
      </w:r>
      <w:r>
        <w:rPr>
          <w:spacing w:val="-4"/>
          <w:sz w:val="28"/>
          <w:szCs w:val="28"/>
        </w:rPr>
        <w:t>1 (С</w:t>
      </w:r>
      <w:r>
        <w:rPr>
          <w:spacing w:val="-4"/>
          <w:sz w:val="28"/>
          <w:szCs w:val="28"/>
          <w:vertAlign w:val="subscript"/>
        </w:rPr>
        <w:t>3</w:t>
      </w:r>
      <w:r>
        <w:rPr>
          <w:spacing w:val="-4"/>
          <w:sz w:val="28"/>
          <w:szCs w:val="28"/>
          <w:lang w:val="en-US"/>
        </w:rPr>
        <w:t>F</w:t>
      </w:r>
      <w:r>
        <w:rPr>
          <w:spacing w:val="-4"/>
          <w:sz w:val="28"/>
          <w:szCs w:val="28"/>
          <w:vertAlign w:val="subscript"/>
        </w:rPr>
        <w:t>7</w:t>
      </w:r>
      <w:r>
        <w:rPr>
          <w:spacing w:val="-4"/>
          <w:sz w:val="28"/>
          <w:szCs w:val="28"/>
          <w:lang w:val="en-US"/>
        </w:rPr>
        <w:t>J</w:t>
      </w:r>
      <w:r>
        <w:rPr>
          <w:spacing w:val="-4"/>
          <w:sz w:val="28"/>
          <w:szCs w:val="28"/>
        </w:rPr>
        <w:t>).</w:t>
      </w:r>
    </w:p>
    <w:p w:rsidR="00000000" w:rsidRDefault="00750E37">
      <w:pPr>
        <w:pStyle w:val="formattext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паров при 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= 101,3 кПа и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= 20 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С составляет 12,3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00000" w:rsidRDefault="00750E37">
      <w:pPr>
        <w:pStyle w:val="formattext"/>
        <w:keepNext/>
        <w:widowControl/>
        <w:spacing w:after="120"/>
        <w:jc w:val="both"/>
        <w:rPr>
          <w:sz w:val="24"/>
          <w:szCs w:val="24"/>
        </w:rPr>
      </w:pPr>
      <w:r>
        <w:rPr>
          <w:spacing w:val="60"/>
          <w:sz w:val="28"/>
          <w:szCs w:val="28"/>
        </w:rPr>
        <w:t xml:space="preserve">Таблица </w:t>
      </w:r>
      <w:r>
        <w:rPr>
          <w:sz w:val="28"/>
          <w:szCs w:val="28"/>
        </w:rPr>
        <w:t>Д.13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3116"/>
        <w:gridCol w:w="3116"/>
        <w:gridCol w:w="3116"/>
      </w:tblGrid>
      <w:tr w:rsidR="00000000"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 xml:space="preserve">нование </w:t>
            </w:r>
            <w:r>
              <w:rPr>
                <w:sz w:val="24"/>
                <w:szCs w:val="24"/>
              </w:rPr>
              <w:br/>
              <w:t>горючего материала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ГОСТ, ТУ, ОСТ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объемная </w:t>
            </w:r>
            <w:r>
              <w:rPr>
                <w:sz w:val="24"/>
                <w:szCs w:val="24"/>
              </w:rPr>
              <w:br/>
              <w:t>огнетушащая концентрация, % (об.)</w:t>
            </w:r>
          </w:p>
        </w:tc>
      </w:tr>
      <w:tr w:rsidR="00000000">
        <w:tc>
          <w:tcPr>
            <w:tcW w:w="3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Н-гептан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25823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000000" w:rsidRDefault="00750E37">
      <w:pPr>
        <w:pStyle w:val="formattext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Д.14 Нормативная объемная огнетушащая концентрация хладона </w:t>
      </w:r>
      <w:r>
        <w:rPr>
          <w:sz w:val="28"/>
          <w:szCs w:val="28"/>
          <w:lang w:val="en-US"/>
        </w:rPr>
        <w:t>CF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.</w:t>
      </w:r>
    </w:p>
    <w:p w:rsidR="00000000" w:rsidRDefault="00750E37">
      <w:pPr>
        <w:pStyle w:val="formattext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паров при 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= 101,3 кПа и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= 20 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С составляет </w:t>
      </w:r>
      <w:r>
        <w:rPr>
          <w:sz w:val="28"/>
          <w:szCs w:val="28"/>
        </w:rPr>
        <w:t>8,16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00000" w:rsidRDefault="00750E37">
      <w:pPr>
        <w:pStyle w:val="formattext"/>
        <w:keepNext/>
        <w:widowControl/>
        <w:spacing w:after="120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Таблица </w:t>
      </w:r>
      <w:r>
        <w:rPr>
          <w:sz w:val="28"/>
          <w:szCs w:val="28"/>
        </w:rPr>
        <w:t>Д.14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3120"/>
        <w:gridCol w:w="3120"/>
        <w:gridCol w:w="3120"/>
      </w:tblGrid>
      <w:tr w:rsidR="00000000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горючего материала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ГОСТ, ТУ, ОСТ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объемная </w:t>
            </w:r>
            <w:r>
              <w:rPr>
                <w:sz w:val="24"/>
                <w:szCs w:val="24"/>
              </w:rPr>
              <w:br/>
              <w:t>огнетушащая концентрация, % (об.)</w:t>
            </w:r>
          </w:p>
        </w:tc>
      </w:tr>
      <w:tr w:rsidR="00000000">
        <w:tc>
          <w:tcPr>
            <w:tcW w:w="31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Н-гептан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25823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</w:tbl>
    <w:p w:rsidR="00000000" w:rsidRDefault="00750E37">
      <w:pPr>
        <w:pStyle w:val="formattext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Д.15 Нормативная объемная огнетушащая концентрация газового состава «Аргонит» (азот (N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― </w:t>
      </w:r>
      <w:r>
        <w:rPr>
          <w:sz w:val="28"/>
          <w:szCs w:val="28"/>
        </w:rPr>
        <w:t>50 % (об.); аргон (Ar) ― 50 % (об.).</w:t>
      </w:r>
    </w:p>
    <w:p w:rsidR="00000000" w:rsidRDefault="00750E37">
      <w:pPr>
        <w:pStyle w:val="formattext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паров при 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= 101,3 кПа и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= 20 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С составляет 1,4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00000" w:rsidRDefault="00750E37">
      <w:pPr>
        <w:pStyle w:val="formattext"/>
        <w:keepNext/>
        <w:widowControl/>
        <w:spacing w:after="120" w:line="252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Таблица </w:t>
      </w:r>
      <w:r>
        <w:rPr>
          <w:sz w:val="28"/>
          <w:szCs w:val="28"/>
        </w:rPr>
        <w:t>Д.15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3116"/>
        <w:gridCol w:w="3116"/>
        <w:gridCol w:w="3116"/>
      </w:tblGrid>
      <w:tr w:rsidR="00000000"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горючего материала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ГОСТ, ТУ, ОСТ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объемная </w:t>
            </w:r>
            <w:r>
              <w:rPr>
                <w:sz w:val="24"/>
                <w:szCs w:val="24"/>
              </w:rPr>
              <w:br/>
              <w:t>огнетушащая концентрация, % (об.)</w:t>
            </w:r>
          </w:p>
        </w:tc>
      </w:tr>
      <w:tr w:rsidR="00000000">
        <w:tc>
          <w:tcPr>
            <w:tcW w:w="3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Н-гептан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25823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50E37">
            <w:pPr>
              <w:pStyle w:val="formattext"/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</w:tbl>
    <w:p w:rsidR="00000000" w:rsidRDefault="00750E37">
      <w:pPr>
        <w:pStyle w:val="formattext"/>
        <w:widowControl/>
        <w:pBdr>
          <w:bottom w:val="single" w:sz="12" w:space="17" w:color="auto"/>
        </w:pBdr>
        <w:spacing w:before="120" w:after="120" w:line="252" w:lineRule="auto"/>
        <w:ind w:firstLine="709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Примечани</w:t>
      </w:r>
      <w:r>
        <w:rPr>
          <w:sz w:val="28"/>
          <w:szCs w:val="28"/>
        </w:rPr>
        <w:t>е ― Нормативную объемную огнетушащую концентрацию перечисленных выше газовых ОТВ для тушения пожара класса А2 следует принимать равной нормативной объемной огнетушащей концентрации для тушения н-гептана.»;</w:t>
      </w:r>
    </w:p>
    <w:p w:rsidR="00000000" w:rsidRDefault="00750E37">
      <w:pPr>
        <w:pStyle w:val="formattext"/>
        <w:widowControl/>
        <w:pBdr>
          <w:bottom w:val="single" w:sz="12" w:space="17" w:color="auto"/>
        </w:pBdr>
        <w:tabs>
          <w:tab w:val="left" w:pos="709"/>
        </w:tabs>
        <w:spacing w:before="120" w:after="120" w:line="252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пункты Д11 и Д12 </w:t>
      </w:r>
      <w:r>
        <w:rPr>
          <w:iCs/>
          <w:sz w:val="28"/>
          <w:szCs w:val="28"/>
        </w:rPr>
        <w:t xml:space="preserve">считать пунктами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16 и Д17 </w:t>
      </w:r>
      <w:r>
        <w:rPr>
          <w:iCs/>
          <w:sz w:val="28"/>
          <w:szCs w:val="28"/>
        </w:rPr>
        <w:t>соответственно;</w:t>
      </w:r>
    </w:p>
    <w:p w:rsidR="00000000" w:rsidRDefault="00750E37">
      <w:pPr>
        <w:pStyle w:val="formattext"/>
        <w:widowControl/>
        <w:spacing w:before="120" w:after="12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УДК614.844.4:006.354                  ОКС 13.220.10                         ОКП 48 5487</w:t>
      </w:r>
    </w:p>
    <w:p w:rsidR="00750E37" w:rsidRDefault="00750E37">
      <w:pPr>
        <w:pStyle w:val="formattext"/>
        <w:widowControl/>
        <w:pBdr>
          <w:bottom w:val="single" w:sz="12" w:space="1" w:color="auto"/>
        </w:pBdr>
        <w:spacing w:before="120" w:after="12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автономная установка пожаротушения, автоматическая пожарная сигнализация, огнетушащее вещество, защищаемый объект</w:t>
      </w:r>
    </w:p>
    <w:sectPr w:rsidR="00750E37">
      <w:footerReference w:type="even" r:id="rId7"/>
      <w:footerReference w:type="default" r:id="rId8"/>
      <w:pgSz w:w="11906" w:h="16838"/>
      <w:pgMar w:top="680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37" w:rsidRDefault="00750E37">
      <w:pPr>
        <w:pStyle w:val="21"/>
      </w:pPr>
      <w:r>
        <w:separator/>
      </w:r>
    </w:p>
  </w:endnote>
  <w:endnote w:type="continuationSeparator" w:id="1">
    <w:p w:rsidR="00750E37" w:rsidRDefault="00750E3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0E3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00000" w:rsidRDefault="00750E3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0E3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37" w:rsidRDefault="00750E37">
      <w:pPr>
        <w:pStyle w:val="21"/>
      </w:pPr>
      <w:r>
        <w:separator/>
      </w:r>
    </w:p>
  </w:footnote>
  <w:footnote w:type="continuationSeparator" w:id="1">
    <w:p w:rsidR="00750E37" w:rsidRDefault="00750E37">
      <w:pPr>
        <w:pStyle w:val="2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36A"/>
    <w:multiLevelType w:val="hybridMultilevel"/>
    <w:tmpl w:val="67C2171C"/>
    <w:lvl w:ilvl="0" w:tplc="FA1812E6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7983"/>
    <w:multiLevelType w:val="multilevel"/>
    <w:tmpl w:val="8D72EAD0"/>
    <w:name w:val="НомерКурсивом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E522A6"/>
    <w:multiLevelType w:val="hybridMultilevel"/>
    <w:tmpl w:val="FB7AFE02"/>
    <w:lvl w:ilvl="0" w:tplc="143EE1E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attachedTemplate r:id="rId1"/>
  <w:defaultTabStop w:val="624"/>
  <w:autoHyphenation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07"/>
    <w:rsid w:val="00750E37"/>
    <w:rsid w:val="00C3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§1.,РАЗДЕЛ,ГЛАВА"/>
    <w:basedOn w:val="a"/>
    <w:next w:val="a"/>
    <w:link w:val="10"/>
    <w:qFormat/>
    <w:pPr>
      <w:keepNext/>
      <w:spacing w:after="60"/>
      <w:ind w:left="6662"/>
      <w:outlineLvl w:val="0"/>
    </w:pPr>
    <w:rPr>
      <w:rFonts w:eastAsiaTheme="minorEastAsia"/>
      <w:b/>
    </w:rPr>
  </w:style>
  <w:style w:type="paragraph" w:styleId="2">
    <w:name w:val="heading 2"/>
    <w:aliases w:val="§1.1.,§1.1,Подраздел,Раздел,РРаздел"/>
    <w:basedOn w:val="a"/>
    <w:next w:val="a"/>
    <w:link w:val="20"/>
    <w:qFormat/>
    <w:pPr>
      <w:keepNext/>
      <w:spacing w:before="240" w:after="60"/>
      <w:jc w:val="both"/>
      <w:outlineLvl w:val="1"/>
    </w:pPr>
    <w:rPr>
      <w:rFonts w:ascii="Arial" w:eastAsiaTheme="minorEastAsia" w:hAnsi="Arial" w:cs="Arial"/>
      <w:bCs/>
      <w:iCs/>
      <w:sz w:val="28"/>
      <w:szCs w:val="28"/>
      <w:lang w:val="fr-FR" w:eastAsia="en-GB"/>
    </w:rPr>
  </w:style>
  <w:style w:type="paragraph" w:styleId="3">
    <w:name w:val="heading 3"/>
    <w:aliases w:val="§1.1.1.,§1.1.1,EIA H3,- 1.1.1,Section,X.X.X,Heading 3 URS,RSKH3,1.1.1,DNV-H3,OG Heading 3"/>
    <w:basedOn w:val="a"/>
    <w:next w:val="a"/>
    <w:link w:val="30"/>
    <w:qFormat/>
    <w:pPr>
      <w:keepNext/>
      <w:spacing w:before="240" w:after="60"/>
      <w:jc w:val="both"/>
      <w:outlineLvl w:val="2"/>
    </w:pPr>
    <w:rPr>
      <w:rFonts w:ascii="Arial" w:eastAsiaTheme="minorEastAsia" w:hAnsi="Arial" w:cs="Arial"/>
      <w:b/>
      <w:bCs/>
      <w:sz w:val="26"/>
      <w:szCs w:val="26"/>
      <w:lang w:val="fr-FR" w:eastAsia="en-GB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jc w:val="both"/>
      <w:outlineLvl w:val="3"/>
    </w:pPr>
    <w:rPr>
      <w:rFonts w:eastAsiaTheme="minorEastAsia"/>
      <w:b/>
      <w:bCs/>
      <w:sz w:val="28"/>
      <w:szCs w:val="28"/>
      <w:lang w:val="fr-FR" w:eastAsia="en-GB"/>
    </w:rPr>
  </w:style>
  <w:style w:type="paragraph" w:styleId="5">
    <w:name w:val="heading 5"/>
    <w:basedOn w:val="a"/>
    <w:next w:val="a"/>
    <w:link w:val="50"/>
    <w:qFormat/>
    <w:pPr>
      <w:spacing w:before="240" w:after="60"/>
      <w:jc w:val="both"/>
      <w:outlineLvl w:val="4"/>
    </w:pPr>
    <w:rPr>
      <w:rFonts w:ascii="Arial" w:eastAsiaTheme="minorEastAsia" w:hAnsi="Arial"/>
      <w:b/>
      <w:bCs/>
      <w:i/>
      <w:iCs/>
      <w:sz w:val="26"/>
      <w:szCs w:val="26"/>
      <w:lang w:val="fr-FR" w:eastAsia="en-GB"/>
    </w:rPr>
  </w:style>
  <w:style w:type="paragraph" w:styleId="6">
    <w:name w:val="heading 6"/>
    <w:basedOn w:val="a"/>
    <w:next w:val="a"/>
    <w:link w:val="60"/>
    <w:qFormat/>
    <w:pPr>
      <w:spacing w:before="240" w:after="60"/>
      <w:jc w:val="both"/>
      <w:outlineLvl w:val="5"/>
    </w:pPr>
    <w:rPr>
      <w:rFonts w:eastAsiaTheme="minorEastAsia"/>
      <w:b/>
      <w:bCs/>
      <w:sz w:val="22"/>
      <w:szCs w:val="22"/>
      <w:lang w:val="fr-FR" w:eastAsia="en-GB"/>
    </w:rPr>
  </w:style>
  <w:style w:type="paragraph" w:styleId="7">
    <w:name w:val="heading 7"/>
    <w:aliases w:val="Not in Use,Itallics,Italics"/>
    <w:basedOn w:val="a"/>
    <w:next w:val="a"/>
    <w:link w:val="70"/>
    <w:qFormat/>
    <w:pPr>
      <w:spacing w:before="240" w:after="60"/>
      <w:jc w:val="both"/>
      <w:outlineLvl w:val="6"/>
    </w:pPr>
    <w:rPr>
      <w:lang w:val="fr-FR" w:eastAsia="en-GB"/>
    </w:rPr>
  </w:style>
  <w:style w:type="paragraph" w:styleId="8">
    <w:name w:val="heading 8"/>
    <w:basedOn w:val="a"/>
    <w:next w:val="a"/>
    <w:link w:val="80"/>
    <w:qFormat/>
    <w:pPr>
      <w:spacing w:before="240" w:after="60"/>
      <w:jc w:val="both"/>
      <w:outlineLvl w:val="7"/>
    </w:pPr>
    <w:rPr>
      <w:i/>
      <w:iCs/>
      <w:lang w:val="fr-FR" w:eastAsia="en-GB"/>
    </w:rPr>
  </w:style>
  <w:style w:type="paragraph" w:styleId="9">
    <w:name w:val="heading 9"/>
    <w:basedOn w:val="a"/>
    <w:next w:val="a"/>
    <w:link w:val="90"/>
    <w:qFormat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§1. Знак,РАЗДЕЛ Знак,ГЛАВА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§1.1. Знак,§1.1 Знак,Подраздел Знак,Раздел Знак,РРаздел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§1.1.1. Знак,§1.1.1 Знак,EIA H3 Знак,- 1.1.1 Знак,Section Знак,X.X.X Знак,Heading 3 URS Знак,RSKH3 Знак,1.1.1 Знак,DNV-H3 Знак,OG Heading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70">
    <w:name w:val="Заголовок 7 Знак"/>
    <w:aliases w:val="Not in Use Знак,Itallics Знак,Italics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sz w:val="24"/>
      <w:szCs w:val="24"/>
    </w:rPr>
  </w:style>
  <w:style w:type="paragraph" w:styleId="aa">
    <w:name w:val="Body Text"/>
    <w:basedOn w:val="a"/>
    <w:link w:val="ab"/>
    <w:pPr>
      <w:tabs>
        <w:tab w:val="num" w:pos="1647"/>
      </w:tabs>
      <w:ind w:right="-1"/>
      <w:jc w:val="both"/>
    </w:pPr>
  </w:style>
  <w:style w:type="character" w:customStyle="1" w:styleId="ab">
    <w:name w:val="Основной текст Знак"/>
    <w:basedOn w:val="a0"/>
    <w:link w:val="aa"/>
    <w:rPr>
      <w:sz w:val="24"/>
      <w:szCs w:val="24"/>
    </w:rPr>
  </w:style>
  <w:style w:type="paragraph" w:styleId="ac">
    <w:name w:val="Body Text Indent"/>
    <w:basedOn w:val="a"/>
    <w:link w:val="ad"/>
    <w:pPr>
      <w:tabs>
        <w:tab w:val="num" w:pos="1647"/>
      </w:tabs>
      <w:ind w:firstLine="720"/>
      <w:jc w:val="both"/>
    </w:pPr>
    <w:rPr>
      <w:i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Pr>
      <w:sz w:val="24"/>
      <w:szCs w:val="24"/>
    </w:rPr>
  </w:style>
  <w:style w:type="paragraph" w:styleId="21">
    <w:name w:val="Body Text Indent 2"/>
    <w:basedOn w:val="a"/>
    <w:link w:val="22"/>
    <w:pPr>
      <w:ind w:right="-1" w:firstLine="720"/>
      <w:jc w:val="both"/>
    </w:pPr>
    <w:rPr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Pr>
      <w:sz w:val="24"/>
      <w:szCs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Pr>
      <w:sz w:val="16"/>
      <w:szCs w:val="16"/>
    </w:rPr>
  </w:style>
  <w:style w:type="paragraph" w:styleId="ae">
    <w:name w:val="Block Text"/>
    <w:basedOn w:val="a"/>
    <w:pPr>
      <w:tabs>
        <w:tab w:val="num" w:pos="1647"/>
      </w:tabs>
      <w:ind w:left="720" w:right="-1"/>
      <w:jc w:val="both"/>
    </w:pPr>
    <w:rPr>
      <w:iCs/>
      <w:sz w:val="28"/>
      <w:szCs w:val="28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locked/>
    <w:rPr>
      <w:rFonts w:ascii="Tahoma" w:hAnsi="Tahoma" w:cs="Tahoma" w:hint="default"/>
      <w:sz w:val="16"/>
      <w:szCs w:val="16"/>
    </w:rPr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headertext">
    <w:name w:val="headertext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f2">
    <w:name w:val="annotation reference"/>
    <w:basedOn w:val="a0"/>
    <w:semiHidden/>
    <w:rPr>
      <w:sz w:val="16"/>
      <w:szCs w:val="16"/>
    </w:rPr>
  </w:style>
  <w:style w:type="character" w:styleId="af3">
    <w:name w:val="page number"/>
    <w:basedOn w:val="a0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3054</Words>
  <Characters>17411</Characters>
  <Application>Microsoft Office Word</Application>
  <DocSecurity>0</DocSecurity>
  <Lines>145</Lines>
  <Paragraphs>40</Paragraphs>
  <ScaleCrop>false</ScaleCrop>
  <Company>ВНИИПО</Company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10</dc:title>
  <dc:creator>Катя</dc:creator>
  <cp:lastModifiedBy>Alexander</cp:lastModifiedBy>
  <cp:revision>2</cp:revision>
  <cp:lastPrinted>2011-05-26T07:19:00Z</cp:lastPrinted>
  <dcterms:created xsi:type="dcterms:W3CDTF">2013-03-01T21:45:00Z</dcterms:created>
  <dcterms:modified xsi:type="dcterms:W3CDTF">2013-03-01T21:45:00Z</dcterms:modified>
</cp:coreProperties>
</file>