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1EF">
      <w:pPr>
        <w:spacing w:line="25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ОКС 13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>220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000000" w:rsidRDefault="000A31EF">
      <w:pPr>
        <w:spacing w:line="25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ИЗМЕНЕНИЕ № 1 к своду правил </w:t>
      </w:r>
      <w:r>
        <w:rPr>
          <w:rFonts w:ascii="Times New Roman" w:hAnsi="Times New Roman" w:cs="Times New Roman"/>
          <w:b/>
          <w:sz w:val="28"/>
          <w:szCs w:val="28"/>
        </w:rPr>
        <w:t>СП 8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sz w:val="28"/>
          <w:szCs w:val="28"/>
        </w:rPr>
        <w:t>13130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sz w:val="28"/>
          <w:szCs w:val="28"/>
        </w:rPr>
        <w:t>2009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«Системы противопожарной защиты</w:t>
      </w:r>
      <w:smartTag w:uri="urn:schemas-microsoft-com:office:smarttags" w:element="PersonName"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наружного противопожарного водоснабжения. </w:t>
      </w: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безопасности»</w:t>
      </w: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и введено в действие приказом МЧС России </w:t>
      </w:r>
    </w:p>
    <w:p w:rsidR="00000000" w:rsidRDefault="000A31E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2010 г</w:t>
        </w:r>
      </w:smartTag>
      <w:smartTag w:uri="urn:schemas-microsoft-com:office:smarttags" w:element="PersonName"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640</w:t>
      </w:r>
    </w:p>
    <w:p w:rsidR="00000000" w:rsidRDefault="000A31EF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A31EF">
      <w:pPr>
        <w:spacing w:line="252" w:lineRule="auto"/>
        <w:ind w:left="5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2011 г</w:t>
        </w:r>
      </w:smartTag>
      <w:smartTag w:uri="urn:schemas-microsoft-com:office:smarttags" w:element="PersonName"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</w:smartTag>
    </w:p>
    <w:p w:rsidR="00000000" w:rsidRDefault="000A31EF">
      <w:pPr>
        <w:spacing w:line="252" w:lineRule="auto"/>
        <w:ind w:left="6047"/>
        <w:jc w:val="left"/>
        <w:rPr>
          <w:rFonts w:ascii="Times New Roman" w:hAnsi="Times New Roman" w:cs="Times New Roman"/>
          <w:sz w:val="24"/>
          <w:szCs w:val="24"/>
        </w:rPr>
      </w:pPr>
    </w:p>
    <w:p w:rsidR="00000000" w:rsidRDefault="000A31EF">
      <w:pPr>
        <w:tabs>
          <w:tab w:val="num" w:pos="1647"/>
        </w:tabs>
        <w:spacing w:line="252" w:lineRule="auto"/>
        <w:ind w:right="-1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Пункт 1</w:t>
      </w:r>
      <w:smartTag w:uri="urn:schemas-microsoft-com:office:smarttags" w:element="PersonName">
        <w:r>
          <w:rPr>
            <w:rFonts w:ascii="Times New Roman" w:hAnsi="Times New Roman" w:cs="Times New Roman"/>
            <w:iC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после слов «Технический регламент о требованиях пожарной безопасности» дополнить словами «(далее - Технический регламент)»;</w:t>
      </w:r>
    </w:p>
    <w:p w:rsidR="00000000" w:rsidRDefault="000A31E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3 изложить в следующей редакции: </w:t>
      </w:r>
    </w:p>
    <w:p w:rsidR="00000000" w:rsidRDefault="000A31E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При отсутствии в сводах пр</w:t>
      </w:r>
      <w:r>
        <w:rPr>
          <w:rFonts w:ascii="Times New Roman" w:hAnsi="Times New Roman" w:cs="Times New Roman"/>
          <w:sz w:val="24"/>
          <w:szCs w:val="24"/>
        </w:rPr>
        <w:t>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решения, отличные от решений,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сводами правил, на основе положений Технического регламента д</w:t>
      </w:r>
      <w:r>
        <w:rPr>
          <w:rFonts w:ascii="Times New Roman" w:hAnsi="Times New Roman" w:cs="Times New Roman"/>
          <w:sz w:val="24"/>
          <w:szCs w:val="24"/>
        </w:rPr>
        <w:t>олжны быть разработаны специальные технические условия, предусматривающие выполнение комплекса мероприятий по обеспечению необходимого уровня пожарной безопасности объекта защиты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Пункт 3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00000" w:rsidRDefault="000A31EF">
      <w:pPr>
        <w:shd w:val="clear" w:color="auto" w:fill="FFFFFF"/>
        <w:tabs>
          <w:tab w:val="left" w:pos="653"/>
        </w:tabs>
        <w:spacing w:before="120" w:after="12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«3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Cs/>
          <w:sz w:val="24"/>
          <w:szCs w:val="24"/>
        </w:rPr>
        <w:t>10 </w:t>
      </w:r>
      <w:r>
        <w:rPr>
          <w:rFonts w:ascii="Times New Roman" w:hAnsi="Times New Roman" w:cs="Times New Roman"/>
          <w:b/>
          <w:bCs/>
          <w:sz w:val="24"/>
          <w:szCs w:val="24"/>
        </w:rPr>
        <w:t>резервуар: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Инженерное с</w:t>
      </w:r>
      <w:r>
        <w:rPr>
          <w:rFonts w:ascii="Times New Roman" w:hAnsi="Times New Roman" w:cs="Times New Roman"/>
          <w:sz w:val="24"/>
          <w:szCs w:val="24"/>
        </w:rPr>
        <w:t>ооружение емкостного типа, предназначенное для хранения запаса воды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Резервуары, как правило, могут быть металлические, железобетонные»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tabs>
          <w:tab w:val="left" w:pos="1706"/>
        </w:tabs>
        <w:spacing w:after="120"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Примечания к пункту 4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1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000000" w:rsidRDefault="000A31EF">
      <w:pPr>
        <w:shd w:val="clear" w:color="auto" w:fill="FFFFFF"/>
        <w:tabs>
          <w:tab w:val="left" w:pos="1706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«Примечания:</w:t>
      </w:r>
    </w:p>
    <w:p w:rsidR="00000000" w:rsidRDefault="000A31EF">
      <w:pPr>
        <w:shd w:val="clear" w:color="auto" w:fill="FFFFFF"/>
        <w:tabs>
          <w:tab w:val="left" w:pos="1706"/>
        </w:tabs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Допускается применять наружное противопожарное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 из искусственных и естественных водоисточников (резервуары, водоемы):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пунктов с числом жителей до 5000 человек;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отдельно стоящих зданий любого назначения, расположенных вне населенных пунктов, при отсутствии хозяйственно-питьевого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производственного водопровода, обеспечивающего требуемый нормами расход воды на наружное прот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вопожарное водоснабжение;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зданий различного назначения при требуемом расходе воды на наружное противопожарное водоснабжение не более 10 л/с;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1- и 2-этажных з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даний любого назначения при площади застройки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более площади пожарного отсека, допускаемой нормами для таких зданий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tabs>
          <w:tab w:val="left" w:pos="1361"/>
        </w:tabs>
        <w:spacing w:before="120" w:line="252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Допускается не предусматривать наружное противопожарное водоснабжение: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 с числом жителей до 50 человек при застройке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зданиями высотой до 2 этажей;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расположенных вне населенных пунктов отдельно стоящих зданий и сооружений класса Ф3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1 по функциональной пожарной опасности площадью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50 м2"/>
        </w:smartTagPr>
        <w:r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150 м</w:t>
        </w:r>
        <w:r>
          <w:rPr>
            <w:rFonts w:ascii="Times New Roman" w:hAnsi="Times New Roman" w:cs="Times New Roman"/>
            <w:color w:val="000000"/>
            <w:spacing w:val="-4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класса Ф3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 по функциональной пожарной опасности объемом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более </w:t>
      </w:r>
      <w:smartTag w:uri="urn:schemas-microsoft-com:office:smarttags" w:element="metricconverter">
        <w:smartTagPr>
          <w:attr w:name="ProductID" w:val="1000 м3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1000 м</w:t>
        </w:r>
        <w:r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, кл</w:t>
      </w:r>
      <w:r>
        <w:rPr>
          <w:rFonts w:ascii="Times New Roman" w:hAnsi="Times New Roman" w:cs="Times New Roman"/>
          <w:color w:val="000000"/>
          <w:sz w:val="24"/>
          <w:szCs w:val="24"/>
        </w:rPr>
        <w:t>ассов Ф1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2, Ф2, Ф3, Ф4 по функциональной пожарной опасности I, II, III и IV степеней огнестойкости объемом не более </w:t>
      </w:r>
      <w:smartTag w:uri="urn:schemas-microsoft-com:office:smarttags" w:element="metricconverter">
        <w:smartTagPr>
          <w:attr w:name="ProductID" w:val="250 м3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250 м</w:t>
        </w:r>
        <w:r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0A31EF">
      <w:pPr>
        <w:shd w:val="clear" w:color="auto" w:fill="FFFFFF"/>
        <w:tabs>
          <w:tab w:val="left" w:pos="1037"/>
        </w:tabs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 и сооружений класса Ф5 по функциональной пожарной опасности I и II степеней огнестойкости категории Д по взрывопожарной и пож</w:t>
      </w:r>
      <w:r>
        <w:rPr>
          <w:rFonts w:ascii="Times New Roman" w:hAnsi="Times New Roman" w:cs="Times New Roman"/>
          <w:sz w:val="24"/>
          <w:szCs w:val="24"/>
        </w:rPr>
        <w:t xml:space="preserve">арной опасности объемом не более </w:t>
      </w:r>
      <w:smartTag w:uri="urn:schemas-microsoft-com:office:smarttags" w:element="metricconverter">
        <w:smartTagPr>
          <w:attr w:name="ProductID" w:val="1000 м3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  <w:r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сезонных универсальных приемно-заготовительных пунктов сельскохозяйственных продуктов при объеме зданий не более </w:t>
      </w:r>
      <w:smartTag w:uri="urn:schemas-microsoft-com:office:smarttags" w:element="metricconverter">
        <w:smartTagPr>
          <w:attr w:name="ProductID" w:val="1000 м3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1000 м</w:t>
        </w:r>
        <w:r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3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; зданий класса Ф5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2 по функциональной пожарной опасности площадью не более </w:t>
      </w:r>
      <w:smartTag w:uri="urn:schemas-microsoft-com:office:smarttags" w:element="metricconverter">
        <w:smartTagPr>
          <w:attr w:name="ProductID" w:val="50 м2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50 м</w:t>
        </w:r>
        <w:r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</w:smartTag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tabs>
          <w:tab w:val="left" w:pos="922"/>
        </w:tabs>
        <w:spacing w:line="252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 пунк</w:t>
      </w:r>
      <w:r>
        <w:rPr>
          <w:rFonts w:ascii="Times New Roman" w:hAnsi="Times New Roman" w:cs="Times New Roman"/>
          <w:color w:val="000000"/>
          <w:sz w:val="24"/>
          <w:szCs w:val="24"/>
        </w:rPr>
        <w:t>те 5</w:t>
      </w:r>
      <w:smartTag w:uri="urn:schemas-microsoft-com:office:smarttags" w:element="PersonName"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1:</w:t>
      </w:r>
    </w:p>
    <w:p w:rsidR="00000000" w:rsidRDefault="000A31EF">
      <w:pPr>
        <w:shd w:val="clear" w:color="auto" w:fill="FFFFFF"/>
        <w:spacing w:before="120" w:line="256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таблицу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редакции: </w:t>
      </w:r>
    </w:p>
    <w:p w:rsidR="00000000" w:rsidRDefault="000A31EF">
      <w:pPr>
        <w:shd w:val="clear" w:color="auto" w:fill="FFFFFF"/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 воды из водопроводной сети на наружное пожаротушение в поселениях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29"/>
        <w:gridCol w:w="1616"/>
        <w:gridCol w:w="2724"/>
        <w:gridCol w:w="2737"/>
      </w:tblGrid>
      <w:tr w:rsidR="00000000">
        <w:trPr>
          <w:trHeight w:val="20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Число жителей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поселении,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color w:val="000000"/>
                  <w:spacing w:val="-3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color w:val="000000"/>
                  <w:spacing w:val="-3"/>
                  <w:sz w:val="24"/>
                  <w:szCs w:val="24"/>
                </w:rPr>
                <w:t>.</w:t>
              </w:r>
            </w:smartTag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Расчетное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личество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временных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жаров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 воды на наружное пожаротуш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 xml:space="preserve">в поселении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1 пожар, л/с</w:t>
            </w:r>
          </w:p>
        </w:tc>
      </w:tr>
      <w:tr w:rsidR="00000000">
        <w:trPr>
          <w:trHeight w:val="1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Застройка зданиями </w:t>
            </w:r>
          </w:p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высотой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жей независимо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степ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 их огнестойкости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Застройка зданиями</w:t>
            </w:r>
          </w:p>
          <w:p w:rsidR="00000000" w:rsidRDefault="000A31E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высотой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этажа и выше независимо от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степени их огнестойкости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1, но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5, но не более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10, но не более 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25, но не более 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50, но не более 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100, но не более 200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200, но не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300, но не более 400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400, но не более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500, но не более 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600, но не более 700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700, но не более 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Более 800, но не 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олее 1000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rPr>
          <w:trHeight w:val="20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40" w:after="4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000000" w:rsidRDefault="000A31EF">
      <w:pPr>
        <w:shd w:val="clear" w:color="auto" w:fill="FFFFFF"/>
        <w:spacing w:after="120" w:line="256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00000" w:rsidRDefault="000A31EF">
      <w:pPr>
        <w:shd w:val="clear" w:color="auto" w:fill="FFFFFF"/>
        <w:spacing w:after="120" w:line="256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дополнить примечание пунктом следующего содержания:</w:t>
      </w:r>
    </w:p>
    <w:p w:rsidR="00000000" w:rsidRDefault="000A31EF">
      <w:pPr>
        <w:shd w:val="clear" w:color="auto" w:fill="FFFFFF"/>
        <w:spacing w:after="120" w:line="256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«6 В поселениях с числом жителей более 100000 человек и с застрой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кой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зданиями высотой не более 2 этажей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расход воды на наружное пожароту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шение на 1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жар принимается как для поселения с застройкой зданиями высотой 3 этажа и выше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пункте 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2:</w:t>
      </w:r>
    </w:p>
    <w:p w:rsidR="00000000" w:rsidRDefault="000A31EF">
      <w:pPr>
        <w:shd w:val="clear" w:color="auto" w:fill="FFFFFF"/>
        <w:spacing w:line="252" w:lineRule="auto"/>
        <w:ind w:firstLine="567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2 изложить в следующей редакции:</w:t>
      </w:r>
    </w:p>
    <w:p w:rsidR="00000000" w:rsidRDefault="000A31EF">
      <w:pPr>
        <w:pStyle w:val="a8"/>
        <w:spacing w:after="120" w:line="252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pacing w:val="0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>Таблица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– Расход воды на наружное пожаротушение зданий классов функциональной </w:t>
      </w:r>
      <w:r>
        <w:rPr>
          <w:rFonts w:ascii="Times New Roman" w:hAnsi="Times New Roman"/>
          <w:color w:val="000000"/>
          <w:spacing w:val="0"/>
          <w:sz w:val="24"/>
          <w:szCs w:val="24"/>
        </w:rPr>
        <w:t>пожарной опасности Ф1, Ф2, Ф3, Ф4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4A0"/>
      </w:tblPr>
      <w:tblGrid>
        <w:gridCol w:w="2948"/>
        <w:gridCol w:w="1116"/>
        <w:gridCol w:w="1435"/>
        <w:gridCol w:w="1389"/>
        <w:gridCol w:w="1361"/>
        <w:gridCol w:w="1390"/>
      </w:tblGrid>
      <w:tr w:rsidR="00000000">
        <w:trPr>
          <w:cantSplit/>
          <w:trHeight w:val="20"/>
          <w:jc w:val="center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Наименование зданий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Расход воды на наружное пожаротушение зданий 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br/>
              <w:t>независимо от их степени огнестойкости на один пожар, л/с, при объеме зданий, тыс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pacing w:val="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 м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3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более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более 1, </w:t>
            </w:r>
          </w:p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но не более </w:t>
            </w:r>
          </w:p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5,</w:t>
            </w:r>
          </w:p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но не более 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более 25,</w:t>
            </w:r>
          </w:p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но не более 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50,</w:t>
            </w:r>
          </w:p>
          <w:p w:rsidR="00000000" w:rsidRDefault="000A31EF">
            <w:pPr>
              <w:pStyle w:val="a8"/>
              <w:spacing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но не более 150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Здания функциональной пожарной опасности 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Ф1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pacing w:val="-6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3, Ф1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pacing w:val="-6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 одно- и мног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секционные при количестве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этажей: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не более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10*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2, но не более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12, но не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более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16, но не более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30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Здания функциональной пожарной опасности 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Ф1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 Ф1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 Ф2, Ф3, Ф4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при количестве этажей: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не более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10*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2, но не более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30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6, но не более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35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pStyle w:val="a8"/>
              <w:spacing w:before="20" w:after="20" w:line="252" w:lineRule="auto"/>
              <w:ind w:left="268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более 12, но не более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  <w:vertAlign w:val="superscript"/>
              </w:rPr>
              <w:t>_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pStyle w:val="a8"/>
              <w:spacing w:before="20" w:after="20" w:line="252" w:lineRule="auto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</w:rPr>
              <w:t>5</w:t>
            </w:r>
          </w:p>
        </w:tc>
      </w:tr>
    </w:tbl>
    <w:p w:rsidR="00000000" w:rsidRDefault="000A31EF">
      <w:pPr>
        <w:shd w:val="clear" w:color="auto" w:fill="FFFFFF"/>
        <w:spacing w:before="120" w:after="12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iCs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расход воды на один пожар – 5 л/с»;</w:t>
      </w:r>
    </w:p>
    <w:p w:rsidR="00000000" w:rsidRDefault="000A31EF">
      <w:pPr>
        <w:shd w:val="clear" w:color="auto" w:fill="FFFFFF"/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примечания исключить; </w:t>
      </w:r>
    </w:p>
    <w:p w:rsidR="00000000" w:rsidRDefault="000A31EF">
      <w:pPr>
        <w:shd w:val="clear" w:color="auto" w:fill="FFFFFF"/>
        <w:spacing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примечания изложить в следующе</w:t>
      </w:r>
      <w:r>
        <w:rPr>
          <w:rFonts w:ascii="Times New Roman" w:hAnsi="Times New Roman" w:cs="Times New Roman"/>
          <w:sz w:val="24"/>
          <w:szCs w:val="24"/>
        </w:rPr>
        <w:t>й редакции:</w:t>
      </w:r>
    </w:p>
    <w:p w:rsidR="00000000" w:rsidRDefault="000A31EF">
      <w:pPr>
        <w:shd w:val="clear" w:color="auto" w:fill="FFFFFF"/>
        <w:tabs>
          <w:tab w:val="left" w:pos="624"/>
        </w:tabs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 В случае, если производительность наружных водопроводных сетей недостаточна для подачи расчетного расхода воды на пожаротушение или при присоединении вводов к тупиковым сетям, необходимо предусматривать устройство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зервуаров, емкость которы</w:t>
      </w:r>
      <w:r>
        <w:rPr>
          <w:rFonts w:ascii="Times New Roman" w:hAnsi="Times New Roman" w:cs="Times New Roman"/>
          <w:sz w:val="24"/>
          <w:szCs w:val="24"/>
        </w:rPr>
        <w:t>х должна обеспечивать расход воды на наружное пожаротушение в течение 3 часов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before="120" w:after="120"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6 изложить в следующей редакции:</w:t>
      </w:r>
    </w:p>
    <w:p w:rsidR="00000000" w:rsidRDefault="000A31EF">
      <w:pPr>
        <w:shd w:val="clear" w:color="auto" w:fill="FFFFFF"/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6 Расход воды на наружное пожаротушение 1- и 2-этажных зданий </w:t>
      </w:r>
      <w:r>
        <w:rPr>
          <w:rFonts w:ascii="Times New Roman" w:hAnsi="Times New Roman" w:cs="Times New Roman"/>
          <w:spacing w:val="6"/>
          <w:sz w:val="24"/>
          <w:szCs w:val="24"/>
        </w:rPr>
        <w:t>производственного  и 1-этажных  зданий  складского  назначения выс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отой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8 м"/>
        </w:smartTagPr>
        <w:r>
          <w:rPr>
            <w:rFonts w:ascii="Times New Roman" w:hAnsi="Times New Roman" w:cs="Times New Roman"/>
            <w:sz w:val="24"/>
            <w:szCs w:val="24"/>
          </w:rPr>
          <w:t>18 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 несущими стальными конструкциями и ограждающими кон</w:t>
      </w:r>
      <w:r>
        <w:rPr>
          <w:rFonts w:ascii="Times New Roman" w:hAnsi="Times New Roman" w:cs="Times New Roman"/>
          <w:spacing w:val="6"/>
          <w:sz w:val="24"/>
          <w:szCs w:val="24"/>
        </w:rPr>
        <w:t>струкциями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из стальных профилированных или асбестоцементных листов </w:t>
      </w:r>
      <w:r>
        <w:rPr>
          <w:rFonts w:ascii="Times New Roman" w:hAnsi="Times New Roman" w:cs="Times New Roman"/>
          <w:spacing w:val="-2"/>
          <w:sz w:val="24"/>
          <w:szCs w:val="24"/>
        </w:rPr>
        <w:t>со сгораемыми утеплителями следует принимать на 10 л/с больше нормативов,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таблицах 3 и 4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3 –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Рас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ход воды на наружное пожаротушение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зданий класса функциональной </w:t>
      </w:r>
      <w:r>
        <w:rPr>
          <w:rFonts w:ascii="Times New Roman" w:hAnsi="Times New Roman" w:cs="Times New Roman"/>
          <w:sz w:val="24"/>
          <w:szCs w:val="24"/>
        </w:rPr>
        <w:t>пожарной опасности Ф5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570"/>
        <w:gridCol w:w="1568"/>
        <w:gridCol w:w="1136"/>
        <w:gridCol w:w="881"/>
        <w:gridCol w:w="881"/>
        <w:gridCol w:w="881"/>
        <w:gridCol w:w="881"/>
        <w:gridCol w:w="881"/>
        <w:gridCol w:w="881"/>
        <w:gridCol w:w="881"/>
      </w:tblGrid>
      <w:tr w:rsidR="00000000">
        <w:trPr>
          <w:cantSplit/>
          <w:trHeight w:val="1198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огнестойкости зданий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конструктивной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000000" w:rsidRDefault="000A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A31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взрыво-пожарной и </w:t>
            </w:r>
          </w:p>
          <w:p w:rsidR="00000000" w:rsidRDefault="000A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0A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на наруж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пожаротушение зданий с 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рями, а также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фонарей шириной не более </w:t>
            </w:r>
            <w:smartTag w:uri="urn:schemas-microsoft-com:office:smarttags" w:element="metricconverter">
              <w:smartTagPr>
                <w:attr w:name="ProductID" w:val="60 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60 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1 пожар, л/с, при объеме зданий,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 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0000">
        <w:trPr>
          <w:cantSplit/>
          <w:trHeight w:val="19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3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3, 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5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5, 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20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20, 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50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50, 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200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200, 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400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400, 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600 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С0, С1*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Д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С0, С1*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С0, С1*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С0, С1*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С0, С1*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С0, С1*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С2, С3*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С2, С3*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Г, 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rPr>
          <w:trHeight w:val="2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0A31EF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0A31EF">
      <w:pPr>
        <w:shd w:val="clear" w:color="auto" w:fill="FFFFFF"/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наличии элементов зданий, указанных в пункте 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6, расходы воды в таблице 3 и пункте 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6 суммируются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4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асход воды на наружное пожаротушение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зданий класса функциональной </w:t>
      </w:r>
      <w:r>
        <w:rPr>
          <w:rFonts w:ascii="Times New Roman" w:hAnsi="Times New Roman" w:cs="Times New Roman"/>
          <w:sz w:val="24"/>
          <w:szCs w:val="24"/>
        </w:rPr>
        <w:t>пожарной опасности Ф5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1297"/>
        <w:gridCol w:w="1215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000000">
        <w:trPr>
          <w:cantSplit/>
          <w:trHeight w:val="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огне-стойкости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конст-руктивной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пожарной опасности зданий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во-пожарной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пожа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на 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жное пожаротушение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без фонарей шириной </w:t>
            </w:r>
            <w:smartTag w:uri="urn:schemas-microsoft-com:office:smarttags" w:element="metricconverter">
              <w:smartTagPr>
                <w:attr w:name="ProductID" w:val="60 м"/>
              </w:smartTagPr>
              <w:r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60 м</w:t>
              </w:r>
            </w:smartTag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более на 1 пожар, л/с,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объеме зданий,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 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0000">
        <w:trPr>
          <w:cantSplit/>
          <w:trHeight w:val="30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50, но не более 100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100, но не более 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200, но не более 300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300, но не более 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400, но не более 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500, но не более 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600, но не более 700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700, но не более 800</w:t>
            </w:r>
          </w:p>
        </w:tc>
      </w:tr>
      <w:tr w:rsidR="00000000">
        <w:trPr>
          <w:jc w:val="center"/>
        </w:trPr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Г, 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A31EF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00000" w:rsidRDefault="000A31EF">
      <w:pPr>
        <w:widowControl/>
        <w:jc w:val="left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 р и м 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 а н и я :</w:t>
      </w:r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 При двух расчетных пожарах расчетный расход воды на пожаротушение следует принимать по двум зданиям, требующим наибольшего расхода воды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 Расход воды на наружное пожаротушение отдельно стоящих вспомогательных зданий следует определять по та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блице 2 как для зданий функциональной пожарной опасности Ф2, Ф3, Ф4, а встроенных в производственные здания – по общему объему здания по таблице 3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3 Расход воды на наружное пожаротушение зданий сельскохозяйственных предприятий I и II степеней огнестойкост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и объемом не более 5 тыс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pacing w:val="-4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 категориями Г и Д по пожарной и взрывопожарной опасности следует принимать 5 л/с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4 Расход воды на наружное пожаротушение зданий радиотелевизионных, ретрансляционных и районных передающих станций независимо от объема зданий и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числа проживающих в поселении людей надлежит принимать не менее 15 л/с, если по таблицам 3 и 4 не требуется больший расход воды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Указанные требования не распространяются на радиотелевизионные ретрансляторы, устанавливаемые на существующих и проектируемых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объектах связи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5 Расход воды на наружное пожаротушение зданий объемами, более указанных в таблицах 3 и 4, подлежит обоснованию в специальных технических условиях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6 Для зданий II степени огнестойкости с деревянными конструкциями расход воды на наружное по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жаротушение следует принимать на 5 л/с больше указанного в таблицах 3 или 4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widowControl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7 Расчетный расход воды на наружное пожаротушение зданий и помещений холодильников для хранения пищевых продуктов надлежит принимать как для зданий с категорией помещений В по пож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арной и взрывопожарной опасности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smartTag w:uri="urn:schemas-microsoft-com:office:smarttags" w:element="PersonName">
        <w:r>
          <w:rPr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after="12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Пункт 5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8 изложить в следующей редакции:</w:t>
      </w:r>
    </w:p>
    <w:p w:rsidR="00000000" w:rsidRDefault="000A31EF">
      <w:pPr>
        <w:pStyle w:val="2"/>
        <w:spacing w:line="252" w:lineRule="auto"/>
        <w:ind w:firstLine="567"/>
        <w:textAlignment w:val="top"/>
        <w:rPr>
          <w:sz w:val="24"/>
        </w:rPr>
      </w:pPr>
      <w:r>
        <w:rPr>
          <w:sz w:val="24"/>
        </w:rPr>
        <w:t>«5</w:t>
      </w:r>
      <w:smartTag w:uri="urn:schemas-microsoft-com:office:smarttags" w:element="PersonName">
        <w:r>
          <w:rPr>
            <w:sz w:val="24"/>
          </w:rPr>
          <w:t>.</w:t>
        </w:r>
      </w:smartTag>
      <w:r>
        <w:rPr>
          <w:sz w:val="24"/>
        </w:rPr>
        <w:t>8 Расход воды на наружное пожаротушение открытых площадок хранения контейнеров грузоподъемностью до 30 т следует принимать в зависимости от числа контейнеров: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30–50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 xml:space="preserve"> л/с;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51–100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20 л/с;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101–300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25 л/с;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301–1000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40 л/с;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1001–1500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60 л/с;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1501–2000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80 л/с;</w:t>
      </w:r>
    </w:p>
    <w:p w:rsidR="00000000" w:rsidRDefault="000A31EF">
      <w:pPr>
        <w:tabs>
          <w:tab w:val="left" w:pos="3119"/>
        </w:tabs>
        <w:spacing w:line="252" w:lineRule="auto"/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2000 шт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– 100 л/с»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before="120" w:after="12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Абзац пятый пункта 6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2 исключить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after="120"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Примечание к пункту 6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4 дополнить пунктом 3 следующего содержания:</w:t>
      </w:r>
    </w:p>
    <w:p w:rsidR="00000000" w:rsidRDefault="000A31EF">
      <w:pPr>
        <w:shd w:val="clear" w:color="auto" w:fill="FFFFFF"/>
        <w:spacing w:line="25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 При невозможности обеспечения восстановления пожарного объема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воды в нормативное время, необходимо предусматривать увеличенный в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spacing w:val="-2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 = 1,5; 2,0; 2,5; 3,0 и т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 д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) запас пожарного объема воды в зависимости от фактического времени его восстановления–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A31EF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object w:dxaOrig="9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45pt" o:ole="">
            <v:imagedata r:id="rId6" o:title=""/>
          </v:shape>
          <o:OLEObject Type="Embed" ProgID="Equation.DSMT4" ShapeID="_x0000_i1025" DrawAspect="Content" ObjectID="_1423693903" r:id="rId7"/>
        </w:object>
      </w:r>
    </w:p>
    <w:p w:rsidR="00000000" w:rsidRDefault="000A31EF">
      <w:pPr>
        <w:shd w:val="clear" w:color="auto" w:fill="FFFFFF"/>
        <w:spacing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 w:cs="Times New Roman"/>
          <w:sz w:val="24"/>
          <w:szCs w:val="24"/>
        </w:rPr>
        <w:t> – фактическое время восстановления пожарного объема воды;</w:t>
      </w:r>
    </w:p>
    <w:p w:rsidR="00000000" w:rsidRDefault="000A31EF">
      <w:pPr>
        <w:shd w:val="clear" w:color="auto" w:fill="FFFFFF"/>
        <w:spacing w:line="244" w:lineRule="auto"/>
        <w:ind w:left="1330" w:hanging="1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>
        <w:rPr>
          <w:rFonts w:ascii="Times New Roman" w:hAnsi="Times New Roman" w:cs="Times New Roman"/>
          <w:sz w:val="24"/>
          <w:szCs w:val="24"/>
        </w:rPr>
        <w:t> – время восстановления пожарного объема воды (принимается по пункту 6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4)»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before="120" w:after="120"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Абзац первый пункта 8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7 изложить в следующей редакции:</w:t>
      </w:r>
    </w:p>
    <w:p w:rsidR="00000000" w:rsidRDefault="000A31EF">
      <w:pPr>
        <w:shd w:val="clear" w:color="auto" w:fill="FFFFFF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«8</w:t>
      </w:r>
      <w:smartTag w:uri="urn:schemas-microsoft-com:office:smarttags" w:element="PersonName">
        <w:r>
          <w:rPr>
            <w:rFonts w:ascii="Times New Roman" w:hAnsi="Times New Roman" w:cs="Times New Roman"/>
            <w:spacing w:val="-6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pacing w:val="-6"/>
          <w:sz w:val="24"/>
          <w:szCs w:val="24"/>
        </w:rPr>
        <w:t>7 Во</w:t>
      </w:r>
      <w:r>
        <w:rPr>
          <w:rFonts w:ascii="Times New Roman" w:hAnsi="Times New Roman" w:cs="Times New Roman"/>
          <w:spacing w:val="-6"/>
          <w:sz w:val="24"/>
          <w:szCs w:val="24"/>
        </w:rPr>
        <w:t>допроводные линии, как правило, следует прокладывать под землей</w:t>
      </w:r>
      <w:smartTag w:uri="urn:schemas-microsoft-com:office:smarttags" w:element="PersonName">
        <w:r>
          <w:rPr>
            <w:rFonts w:ascii="Times New Roman" w:hAnsi="Times New Roman" w:cs="Times New Roman"/>
            <w:spacing w:val="-6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При теплотехническом и технико-экономическом обосновании допускаются наземная и надземная прокладки, прокладка в тоннелях, а также прокладка водопр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водных линий в тоннелях совместно с другими</w:t>
      </w:r>
      <w:r>
        <w:rPr>
          <w:rFonts w:ascii="Times New Roman" w:hAnsi="Times New Roman" w:cs="Times New Roman"/>
          <w:sz w:val="24"/>
          <w:szCs w:val="24"/>
        </w:rPr>
        <w:t xml:space="preserve"> подземными коммуникациями, за исключением трубопроводов, транспортирующих легковоспламеняющиеся и горючие жидкости и горючие газы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При прокладке линий противопожарных (и объ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диненных с противопожарными) водопроводов в тоннелях пожарные гидранты должны уст</w:t>
      </w:r>
      <w:r>
        <w:rPr>
          <w:rFonts w:ascii="Times New Roman" w:hAnsi="Times New Roman" w:cs="Times New Roman"/>
          <w:sz w:val="24"/>
          <w:szCs w:val="24"/>
        </w:rPr>
        <w:t>анавливаться в колодцах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При наземной и надземной прокладке водопровода надземные гидранты устанавливаются непосредственно на сети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При этом пожарные гидранты и отключающая арматура должны размещаться в наземных камерах, исключающих з</w:t>
      </w:r>
      <w:r>
        <w:rPr>
          <w:rFonts w:ascii="Times New Roman" w:hAnsi="Times New Roman" w:cs="Times New Roman"/>
          <w:spacing w:val="-2"/>
          <w:sz w:val="24"/>
          <w:szCs w:val="24"/>
        </w:rPr>
        <w:t>амерзание пожарных гид</w:t>
      </w:r>
      <w:r>
        <w:rPr>
          <w:rFonts w:ascii="Times New Roman" w:hAnsi="Times New Roman" w:cs="Times New Roman"/>
          <w:spacing w:val="-2"/>
          <w:sz w:val="24"/>
          <w:szCs w:val="24"/>
        </w:rPr>
        <w:t>рантов при отрицательных температурах наружного</w:t>
      </w:r>
      <w:r>
        <w:rPr>
          <w:rFonts w:ascii="Times New Roman" w:hAnsi="Times New Roman" w:cs="Times New Roman"/>
          <w:sz w:val="24"/>
          <w:szCs w:val="24"/>
        </w:rPr>
        <w:t xml:space="preserve"> воздуха»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000000" w:rsidRDefault="000A31EF">
      <w:pPr>
        <w:shd w:val="clear" w:color="auto" w:fill="FFFFFF"/>
        <w:spacing w:before="120" w:after="120"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Пункт 9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17 изложить в следующей редакции:</w:t>
      </w:r>
    </w:p>
    <w:p w:rsidR="00000000" w:rsidRDefault="000A31EF">
      <w:pPr>
        <w:shd w:val="clear" w:color="auto" w:fill="FFFFFF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>17 Емкости и их оборудование должны быть защищены от замерзания воды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Допускается предусматривать подогрев воды в пожарных резервуарах с помощью водя</w:t>
      </w:r>
      <w:r>
        <w:rPr>
          <w:rFonts w:ascii="Times New Roman" w:hAnsi="Times New Roman" w:cs="Times New Roman"/>
          <w:sz w:val="24"/>
          <w:szCs w:val="24"/>
        </w:rPr>
        <w:t>ных или паровых нагревательных приборов, подключенных к системам центрального отопления зданий, а также с помощью электрических водонагревателей и греющих кабелей».</w:t>
      </w:r>
    </w:p>
    <w:p w:rsidR="00000000" w:rsidRDefault="000A31EF">
      <w:pPr>
        <w:shd w:val="clear" w:color="auto" w:fill="FFFFFF"/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0" w:type="dxa"/>
        <w:tblLook w:val="01E0"/>
      </w:tblPr>
      <w:tblGrid>
        <w:gridCol w:w="3190"/>
        <w:gridCol w:w="3190"/>
        <w:gridCol w:w="3190"/>
      </w:tblGrid>
      <w:tr w:rsidR="00000000">
        <w:tc>
          <w:tcPr>
            <w:tcW w:w="3190" w:type="dxa"/>
            <w:hideMark/>
          </w:tcPr>
          <w:p w:rsidR="00000000" w:rsidRDefault="000A31E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УДК 614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190" w:type="dxa"/>
            <w:hideMark/>
          </w:tcPr>
          <w:p w:rsidR="00000000" w:rsidRDefault="000A31E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 13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90" w:type="dxa"/>
            <w:hideMark/>
          </w:tcPr>
          <w:p w:rsidR="00000000" w:rsidRDefault="000A31E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ВЭД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7523040</w:t>
            </w:r>
          </w:p>
        </w:tc>
      </w:tr>
    </w:tbl>
    <w:p w:rsidR="000A31EF" w:rsidRDefault="000A31E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Ключевые слова: наружное противопожарное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водоснабжение; расходы воды на наружное пожаротушение; </w:t>
      </w:r>
      <w:r>
        <w:rPr>
          <w:rStyle w:val="af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расчётное количество одновременных пожаров;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насосные станции; пожарные резервуары и водоёмы</w:t>
      </w:r>
    </w:p>
    <w:sectPr w:rsidR="000A31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EF" w:rsidRDefault="000A31EF">
      <w:r>
        <w:separator/>
      </w:r>
    </w:p>
  </w:endnote>
  <w:endnote w:type="continuationSeparator" w:id="1">
    <w:p w:rsidR="000A31EF" w:rsidRDefault="000A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EF" w:rsidRDefault="000A31EF">
      <w:r>
        <w:separator/>
      </w:r>
    </w:p>
  </w:footnote>
  <w:footnote w:type="continuationSeparator" w:id="1">
    <w:p w:rsidR="000A31EF" w:rsidRDefault="000A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attachedTemplate r:id="rId1"/>
  <w:defaultTabStop w:val="567"/>
  <w:autoHyphenation/>
  <w:hyphenationZone w:val="340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91"/>
    <w:rsid w:val="000A31EF"/>
    <w:rsid w:val="0049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1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Pr>
      <w:rFonts w:ascii="Arial" w:eastAsia="Times New Roman" w:hAnsi="Arial" w:cs="Arial" w:hint="default"/>
      <w:sz w:val="20"/>
      <w:szCs w:val="20"/>
      <w:lang w:eastAsia="ru-RU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Pr>
      <w:rFonts w:ascii="Arial" w:eastAsia="Times New Roman" w:hAnsi="Arial" w:cs="Arial" w:hint="default"/>
      <w:sz w:val="20"/>
      <w:szCs w:val="20"/>
      <w:lang w:eastAsia="ru-RU"/>
    </w:rPr>
  </w:style>
  <w:style w:type="paragraph" w:styleId="a8">
    <w:name w:val="Title"/>
    <w:basedOn w:val="a"/>
    <w:link w:val="a9"/>
    <w:qFormat/>
    <w:pPr>
      <w:widowControl/>
      <w:autoSpaceDE/>
      <w:autoSpaceDN/>
      <w:adjustRightInd/>
      <w:jc w:val="center"/>
    </w:pPr>
    <w:rPr>
      <w:rFonts w:ascii="Pragmatica" w:hAnsi="Pragmatica" w:cs="Times New Roman"/>
      <w:spacing w:val="22"/>
      <w:sz w:val="26"/>
    </w:rPr>
  </w:style>
  <w:style w:type="character" w:customStyle="1" w:styleId="a9">
    <w:name w:val="Название Знак"/>
    <w:basedOn w:val="a0"/>
    <w:link w:val="a8"/>
    <w:rPr>
      <w:rFonts w:ascii="Pragmatica" w:eastAsia="Times New Roman" w:hAnsi="Pragmatica" w:cs="Times New Roman" w:hint="default"/>
      <w:spacing w:val="22"/>
      <w:sz w:val="26"/>
      <w:szCs w:val="20"/>
      <w:lang w:eastAsia="ru-RU"/>
    </w:rPr>
  </w:style>
  <w:style w:type="paragraph" w:styleId="aa">
    <w:name w:val="Body Text"/>
    <w:basedOn w:val="a"/>
    <w:link w:val="ab"/>
    <w:semiHidden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Arial" w:hAnsi="Arial" w:cs="Arial"/>
    </w:rPr>
  </w:style>
  <w:style w:type="paragraph" w:styleId="2">
    <w:name w:val="Body Text Indent 2"/>
    <w:basedOn w:val="a"/>
    <w:link w:val="20"/>
    <w:semiHidden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paragraph" w:styleId="ac">
    <w:name w:val="Balloon Text"/>
    <w:basedOn w:val="a"/>
    <w:link w:val="ad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Pr>
      <w:rFonts w:ascii="Tahoma" w:eastAsia="Times New Roman" w:hAnsi="Tahoma" w:cs="Tahoma" w:hint="default"/>
      <w:sz w:val="16"/>
      <w:szCs w:val="16"/>
      <w:lang w:eastAsia="ru-RU"/>
    </w:rPr>
  </w:style>
  <w:style w:type="paragraph" w:customStyle="1" w:styleId="ae">
    <w:name w:val="Без красной строки"/>
    <w:basedOn w:val="a"/>
    <w:next w:val="a"/>
    <w:semiHidden/>
    <w:pPr>
      <w:autoSpaceDE/>
      <w:autoSpaceDN/>
      <w:adjustRightInd/>
      <w:spacing w:line="311" w:lineRule="exact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semiHidden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laceholder Text"/>
    <w:basedOn w:val="a0"/>
    <w:uiPriority w:val="99"/>
    <w:semiHidden/>
    <w:rPr>
      <w:color w:val="808080"/>
    </w:rPr>
  </w:style>
  <w:style w:type="character" w:customStyle="1" w:styleId="1">
    <w:name w:val="Верхний колонтитул Знак1"/>
    <w:basedOn w:val="a0"/>
    <w:link w:val="a4"/>
    <w:locked/>
    <w:rPr>
      <w:rFonts w:ascii="Arial" w:hAnsi="Arial" w:cs="Arial" w:hint="default"/>
      <w:lang w:val="ru-RU" w:eastAsia="ru-RU" w:bidi="ar-SA"/>
    </w:rPr>
  </w:style>
  <w:style w:type="table" w:styleId="af0">
    <w:name w:val="Table Grid"/>
    <w:basedOn w:val="a1"/>
    <w:pPr>
      <w:widowControl w:val="0"/>
      <w:autoSpaceDE w:val="0"/>
      <w:autoSpaceDN w:val="0"/>
      <w:adjustRightInd w:val="0"/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1730</Words>
  <Characters>9861</Characters>
  <Application>Microsoft Office Word</Application>
  <DocSecurity>0</DocSecurity>
  <Lines>82</Lines>
  <Paragraphs>23</Paragraphs>
  <ScaleCrop>false</ScaleCrop>
  <Company>ВНИИПО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Сергей</dc:creator>
  <cp:lastModifiedBy>Alexander</cp:lastModifiedBy>
  <cp:revision>2</cp:revision>
  <cp:lastPrinted>2010-11-11T13:28:00Z</cp:lastPrinted>
  <dcterms:created xsi:type="dcterms:W3CDTF">2013-03-01T21:45:00Z</dcterms:created>
  <dcterms:modified xsi:type="dcterms:W3CDTF">2013-03-01T21:45:00Z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